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2A" w:rsidRPr="004C1E63" w:rsidRDefault="00AB0D2A" w:rsidP="00AB0D2A">
      <w:pPr>
        <w:rPr>
          <w:rFonts w:ascii="Open Sans" w:eastAsia="Calibri" w:hAnsi="Open Sans" w:cs="Open Sans"/>
          <w:b/>
          <w:bCs/>
          <w:i/>
          <w:color w:val="1B365D"/>
          <w:sz w:val="28"/>
          <w:szCs w:val="21"/>
        </w:rPr>
      </w:pPr>
      <w:r w:rsidRPr="004C1E63">
        <w:rPr>
          <w:rFonts w:ascii="Open Sans" w:eastAsia="Calibri" w:hAnsi="Open Sans" w:cs="Open Sans"/>
          <w:b/>
          <w:bCs/>
          <w:i/>
          <w:color w:val="1B365D"/>
          <w:sz w:val="28"/>
          <w:szCs w:val="21"/>
        </w:rPr>
        <w:t>5 Whys - Root Cause Analysis Worksheet</w:t>
      </w:r>
    </w:p>
    <w:p w:rsidR="00AB0D2A" w:rsidRPr="004C1E63" w:rsidRDefault="00AB0D2A" w:rsidP="00AB0D2A">
      <w:pPr>
        <w:rPr>
          <w:rFonts w:ascii="Open Sans" w:hAnsi="Open Sans" w:cs="Open Sans"/>
        </w:rPr>
      </w:pPr>
      <w:r w:rsidRPr="000135CC">
        <w:rPr>
          <w:rFonts w:ascii="Open Sans" w:hAnsi="Open Sans" w:cs="Open Sans"/>
        </w:rPr>
        <w:t>T</w:t>
      </w:r>
      <w:r w:rsidRPr="00546575">
        <w:rPr>
          <w:rFonts w:ascii="Open Sans" w:hAnsi="Open Sans" w:cs="Open Sans"/>
        </w:rPr>
        <w:t xml:space="preserve">his is an </w:t>
      </w:r>
      <w:r w:rsidRPr="00546575">
        <w:rPr>
          <w:rFonts w:ascii="Open Sans" w:hAnsi="Open Sans" w:cs="Open Sans"/>
          <w:b/>
          <w:color w:val="000000" w:themeColor="text1"/>
        </w:rPr>
        <w:t>optional</w:t>
      </w:r>
      <w:r w:rsidRPr="00546575">
        <w:rPr>
          <w:rFonts w:ascii="Open Sans" w:hAnsi="Open Sans" w:cs="Open Sans"/>
        </w:rPr>
        <w:t>, internal worksheet to aid in conducting the root cause analysis. Use the table</w:t>
      </w:r>
      <w:r>
        <w:rPr>
          <w:rFonts w:ascii="Open Sans" w:hAnsi="Open Sans" w:cs="Open Sans"/>
        </w:rPr>
        <w:t xml:space="preserve"> below to record the district or school </w:t>
      </w:r>
      <w:r w:rsidRPr="00546575">
        <w:rPr>
          <w:rFonts w:ascii="Open Sans" w:hAnsi="Open Sans" w:cs="Open Sans"/>
        </w:rPr>
        <w:t>team’s responses to the question: Why are you getting the results you are getting? Observations from this analysis should be summarized in the root cause analysis</w:t>
      </w:r>
      <w:r>
        <w:rPr>
          <w:rFonts w:ascii="Open Sans" w:hAnsi="Open Sans" w:cs="Open Sans"/>
        </w:rPr>
        <w:t xml:space="preserve"> on the </w:t>
      </w:r>
      <w:r>
        <w:rPr>
          <w:rFonts w:ascii="Open Sans" w:hAnsi="Open Sans" w:cs="Open Sans"/>
          <w:i/>
        </w:rPr>
        <w:t xml:space="preserve">Prepare to Plan </w:t>
      </w:r>
      <w:r>
        <w:rPr>
          <w:rFonts w:ascii="Open Sans" w:hAnsi="Open Sans" w:cs="Open Sans"/>
        </w:rPr>
        <w:t xml:space="preserve">page of </w:t>
      </w:r>
      <w:proofErr w:type="spellStart"/>
      <w:r>
        <w:rPr>
          <w:rFonts w:ascii="Open Sans" w:hAnsi="Open Sans" w:cs="Open Sans"/>
        </w:rPr>
        <w:t>InformTN</w:t>
      </w:r>
      <w:proofErr w:type="spellEnd"/>
      <w:r w:rsidRPr="00546575">
        <w:rPr>
          <w:rFonts w:ascii="Open Sans" w:hAnsi="Open Sans" w:cs="Open Sans"/>
        </w:rPr>
        <w:t xml:space="preserve">. This worksheet is not a required component of </w:t>
      </w:r>
      <w:r>
        <w:rPr>
          <w:rFonts w:ascii="Open Sans" w:hAnsi="Open Sans" w:cs="Open Sans"/>
        </w:rPr>
        <w:t>the plan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3575"/>
        <w:gridCol w:w="3979"/>
        <w:gridCol w:w="3736"/>
      </w:tblGrid>
      <w:tr w:rsidR="00AB0D2A" w:rsidRPr="00546575" w:rsidTr="003A05D2">
        <w:trPr>
          <w:trHeight w:val="512"/>
        </w:trPr>
        <w:tc>
          <w:tcPr>
            <w:tcW w:w="13756" w:type="dxa"/>
            <w:gridSpan w:val="4"/>
            <w:shd w:val="clear" w:color="auto" w:fill="F2F2F2" w:themeFill="background1" w:themeFillShade="F2"/>
            <w:vAlign w:val="center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Area of Greatest Need:</w:t>
            </w:r>
          </w:p>
        </w:tc>
      </w:tr>
      <w:tr w:rsidR="00AB0D2A" w:rsidRPr="00546575" w:rsidTr="003A05D2">
        <w:trPr>
          <w:trHeight w:val="512"/>
        </w:trPr>
        <w:tc>
          <w:tcPr>
            <w:tcW w:w="13756" w:type="dxa"/>
            <w:gridSpan w:val="4"/>
            <w:shd w:val="clear" w:color="auto" w:fill="F2F2F2" w:themeFill="background1" w:themeFillShade="F2"/>
            <w:vAlign w:val="center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 xml:space="preserve">Framing Question: </w:t>
            </w:r>
          </w:p>
        </w:tc>
      </w:tr>
      <w:tr w:rsidR="00AB0D2A" w:rsidRPr="00546575" w:rsidTr="003A05D2">
        <w:trPr>
          <w:trHeight w:val="998"/>
        </w:trPr>
        <w:tc>
          <w:tcPr>
            <w:tcW w:w="246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5 Whys</w:t>
            </w:r>
            <w:r w:rsidRPr="00546575">
              <w:rPr>
                <w:rStyle w:val="FootnoteReference"/>
                <w:rFonts w:ascii="Open Sans" w:hAnsi="Open Sans" w:cs="Open Sans"/>
                <w:b/>
              </w:rPr>
              <w:footnoteReference w:id="1"/>
            </w:r>
            <w:r w:rsidRPr="00546575">
              <w:rPr>
                <w:rFonts w:ascii="Open Sans" w:hAnsi="Open Sans" w:cs="Open Sans"/>
                <w:b/>
              </w:rPr>
              <w:t xml:space="preserve"> - 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Drilling down to a Root Cause</w:t>
            </w:r>
          </w:p>
        </w:tc>
        <w:tc>
          <w:tcPr>
            <w:tcW w:w="3575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979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  <w:color w:val="C45911" w:themeColor="accent2" w:themeShade="BF"/>
              </w:rPr>
              <w:t xml:space="preserve"> </w:t>
            </w:r>
          </w:p>
        </w:tc>
      </w:tr>
      <w:tr w:rsidR="00AB0D2A" w:rsidRPr="00546575" w:rsidTr="003A05D2">
        <w:tc>
          <w:tcPr>
            <w:tcW w:w="246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979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  <w:tr w:rsidR="00AB0D2A" w:rsidRPr="00546575" w:rsidTr="003A05D2"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979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  <w:tr w:rsidR="00AB0D2A" w:rsidRPr="00546575" w:rsidTr="003A05D2"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color w:val="C45911" w:themeColor="accent2" w:themeShade="BF"/>
              </w:rPr>
            </w:pPr>
          </w:p>
        </w:tc>
        <w:tc>
          <w:tcPr>
            <w:tcW w:w="3979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color w:val="C45911" w:themeColor="accent2" w:themeShade="BF"/>
              </w:rPr>
            </w:pP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  <w:tr w:rsidR="00AB0D2A" w:rsidRPr="00546575" w:rsidTr="003A05D2"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color w:val="C45911" w:themeColor="accent2" w:themeShade="BF"/>
              </w:rPr>
            </w:pPr>
          </w:p>
        </w:tc>
        <w:tc>
          <w:tcPr>
            <w:tcW w:w="3979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  <w:tr w:rsidR="00AB0D2A" w:rsidRPr="00546575" w:rsidTr="003A05D2">
        <w:trPr>
          <w:trHeight w:val="377"/>
        </w:trPr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979" w:type="dxa"/>
          </w:tcPr>
          <w:p w:rsidR="00AB0D2A" w:rsidRPr="00546575" w:rsidRDefault="00AB0D2A" w:rsidP="003A05D2">
            <w:pPr>
              <w:tabs>
                <w:tab w:val="left" w:pos="2985"/>
              </w:tabs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</w:tbl>
    <w:p w:rsidR="00AB0D2A" w:rsidRPr="00546575" w:rsidRDefault="00AB0D2A" w:rsidP="00AB0D2A">
      <w:pPr>
        <w:spacing w:after="0" w:line="276" w:lineRule="auto"/>
        <w:rPr>
          <w:rFonts w:ascii="Open Sans" w:hAnsi="Open Sans" w:cs="Open Sans"/>
        </w:rPr>
      </w:pPr>
      <w:r w:rsidRPr="00546575">
        <w:rPr>
          <w:rFonts w:ascii="Open Sans" w:hAnsi="Open Sans" w:cs="Open Sans"/>
        </w:rPr>
        <w:br/>
        <w:t>Check to see if your final responses meet the criteria of a root cause:</w:t>
      </w:r>
    </w:p>
    <w:p w:rsidR="00AB0D2A" w:rsidRPr="00546575" w:rsidRDefault="00AB0D2A" w:rsidP="00AB0D2A">
      <w:pPr>
        <w:pStyle w:val="ListParagraph"/>
        <w:numPr>
          <w:ilvl w:val="0"/>
          <w:numId w:val="1"/>
        </w:numPr>
        <w:spacing w:after="0" w:line="276" w:lineRule="auto"/>
        <w:rPr>
          <w:rFonts w:ascii="Open Sans" w:hAnsi="Open Sans" w:cs="Open Sans"/>
        </w:rPr>
      </w:pPr>
      <w:r w:rsidRPr="00546575">
        <w:rPr>
          <w:rFonts w:ascii="Open Sans" w:eastAsia="Tahoma" w:hAnsi="Open Sans" w:cs="Open Sans"/>
          <w:kern w:val="24"/>
        </w:rPr>
        <w:t>Is it within the school district’s control or influence?</w:t>
      </w:r>
    </w:p>
    <w:p w:rsidR="00AB0D2A" w:rsidRPr="00F50BC9" w:rsidRDefault="00AB0D2A" w:rsidP="00AB0D2A">
      <w:pPr>
        <w:pStyle w:val="ListParagraph"/>
        <w:numPr>
          <w:ilvl w:val="0"/>
          <w:numId w:val="1"/>
        </w:numPr>
        <w:spacing w:after="0" w:line="276" w:lineRule="auto"/>
        <w:rPr>
          <w:rFonts w:ascii="Open Sans" w:hAnsi="Open Sans" w:cs="Open Sans"/>
        </w:rPr>
      </w:pPr>
      <w:r w:rsidRPr="00546575">
        <w:rPr>
          <w:rFonts w:ascii="Open Sans" w:eastAsia="Tahoma" w:hAnsi="Open Sans" w:cs="Open Sans"/>
          <w:kern w:val="24"/>
        </w:rPr>
        <w:t>If it were dissolved, would it result in improvement/reduction of performance?</w:t>
      </w:r>
    </w:p>
    <w:p w:rsidR="00F80DE5" w:rsidRPr="00EA51AF" w:rsidRDefault="008A7AE2">
      <w:pPr>
        <w:rPr>
          <w:rFonts w:ascii="Open Sans" w:hAnsi="Open Sans" w:cs="Open Sans"/>
          <w:b/>
          <w:i/>
          <w:sz w:val="24"/>
        </w:rPr>
      </w:pPr>
      <w:r w:rsidRPr="00EA51AF">
        <w:rPr>
          <w:rFonts w:ascii="Open Sans" w:hAnsi="Open Sans" w:cs="Open Sans"/>
          <w:b/>
          <w:i/>
          <w:sz w:val="24"/>
        </w:rPr>
        <w:t>Example of Completed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3575"/>
        <w:gridCol w:w="3979"/>
        <w:gridCol w:w="3736"/>
      </w:tblGrid>
      <w:tr w:rsidR="00AB0D2A" w:rsidRPr="00546575" w:rsidTr="003A05D2">
        <w:trPr>
          <w:trHeight w:val="512"/>
        </w:trPr>
        <w:tc>
          <w:tcPr>
            <w:tcW w:w="13756" w:type="dxa"/>
            <w:gridSpan w:val="4"/>
            <w:shd w:val="clear" w:color="auto" w:fill="F2F2F2" w:themeFill="background1" w:themeFillShade="F2"/>
            <w:vAlign w:val="center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Area of Greatest Need:</w:t>
            </w:r>
            <w:r>
              <w:t xml:space="preserve">  </w:t>
            </w:r>
            <w:r w:rsidRPr="008A7AE2">
              <w:rPr>
                <w:color w:val="2E74B5" w:themeColor="accent1" w:themeShade="BF"/>
              </w:rPr>
              <w:t>Strengthen instructional leadership (principal and leadership team)</w:t>
            </w:r>
          </w:p>
        </w:tc>
      </w:tr>
      <w:tr w:rsidR="00AB0D2A" w:rsidRPr="00546575" w:rsidTr="003A05D2">
        <w:trPr>
          <w:trHeight w:val="512"/>
        </w:trPr>
        <w:tc>
          <w:tcPr>
            <w:tcW w:w="13756" w:type="dxa"/>
            <w:gridSpan w:val="4"/>
            <w:shd w:val="clear" w:color="auto" w:fill="F2F2F2" w:themeFill="background1" w:themeFillShade="F2"/>
            <w:vAlign w:val="center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 xml:space="preserve">Framing Question: </w:t>
            </w:r>
            <w:r w:rsidRPr="008A7AE2">
              <w:rPr>
                <w:color w:val="2E74B5" w:themeColor="accent1" w:themeShade="BF"/>
              </w:rPr>
              <w:t>Why are priority schools struggling to establish strong instructional leadership?</w:t>
            </w:r>
          </w:p>
        </w:tc>
      </w:tr>
      <w:tr w:rsidR="008A7AE2" w:rsidRPr="00546575" w:rsidTr="003A05D2">
        <w:trPr>
          <w:trHeight w:val="998"/>
        </w:trPr>
        <w:tc>
          <w:tcPr>
            <w:tcW w:w="2466" w:type="dxa"/>
          </w:tcPr>
          <w:p w:rsidR="008A7AE2" w:rsidRPr="00546575" w:rsidRDefault="008A7AE2" w:rsidP="008A7AE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5 Whys</w:t>
            </w:r>
            <w:r w:rsidRPr="00546575">
              <w:rPr>
                <w:rStyle w:val="FootnoteReference"/>
                <w:rFonts w:ascii="Open Sans" w:hAnsi="Open Sans" w:cs="Open Sans"/>
                <w:b/>
              </w:rPr>
              <w:footnoteReference w:id="2"/>
            </w:r>
            <w:r w:rsidRPr="00546575">
              <w:rPr>
                <w:rFonts w:ascii="Open Sans" w:hAnsi="Open Sans" w:cs="Open Sans"/>
                <w:b/>
              </w:rPr>
              <w:t xml:space="preserve"> - </w:t>
            </w:r>
          </w:p>
          <w:p w:rsidR="008A7AE2" w:rsidRPr="00546575" w:rsidRDefault="008A7AE2" w:rsidP="008A7AE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Drilling down to a Root Cause</w:t>
            </w:r>
          </w:p>
        </w:tc>
        <w:tc>
          <w:tcPr>
            <w:tcW w:w="3575" w:type="dxa"/>
          </w:tcPr>
          <w:p w:rsidR="008A7AE2" w:rsidRPr="008D49C4" w:rsidRDefault="008A7AE2" w:rsidP="008A7AE2">
            <w:pPr>
              <w:rPr>
                <w:b/>
                <w:color w:val="2E74B5" w:themeColor="accent1" w:themeShade="BF"/>
              </w:rPr>
            </w:pPr>
            <w:r w:rsidRPr="008D49C4">
              <w:rPr>
                <w:b/>
                <w:color w:val="2E74B5" w:themeColor="accent1" w:themeShade="BF"/>
              </w:rPr>
              <w:t xml:space="preserve">Hypothesis 1: </w:t>
            </w:r>
            <w:r w:rsidRPr="00212288">
              <w:rPr>
                <w:color w:val="2E74B5" w:themeColor="accent1" w:themeShade="BF"/>
              </w:rPr>
              <w:t>Lack of clarity in roles and responsibilities of school leadership</w:t>
            </w:r>
            <w:r w:rsidRPr="008D49C4">
              <w:rPr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3979" w:type="dxa"/>
          </w:tcPr>
          <w:p w:rsidR="008A7AE2" w:rsidRPr="008D49C4" w:rsidRDefault="008A7AE2" w:rsidP="008A7AE2">
            <w:pPr>
              <w:rPr>
                <w:b/>
                <w:color w:val="2E74B5" w:themeColor="accent1" w:themeShade="BF"/>
              </w:rPr>
            </w:pPr>
            <w:r w:rsidRPr="008D49C4">
              <w:rPr>
                <w:b/>
                <w:color w:val="2E74B5" w:themeColor="accent1" w:themeShade="BF"/>
              </w:rPr>
              <w:t xml:space="preserve">Hypothesis 2: </w:t>
            </w:r>
            <w:r w:rsidRPr="00212288">
              <w:rPr>
                <w:color w:val="2E74B5" w:themeColor="accent1" w:themeShade="BF"/>
              </w:rPr>
              <w:t xml:space="preserve">Leadership team (including Principals) does not have adequate capacity (time and skills) to provide timely, actionable feedback to teachers </w:t>
            </w:r>
          </w:p>
        </w:tc>
        <w:tc>
          <w:tcPr>
            <w:tcW w:w="3736" w:type="dxa"/>
          </w:tcPr>
          <w:p w:rsidR="008A7AE2" w:rsidRPr="008D49C4" w:rsidRDefault="008A7AE2" w:rsidP="008A7AE2">
            <w:pPr>
              <w:rPr>
                <w:b/>
                <w:color w:val="2E74B5" w:themeColor="accent1" w:themeShade="BF"/>
              </w:rPr>
            </w:pPr>
            <w:r w:rsidRPr="008D49C4">
              <w:rPr>
                <w:b/>
                <w:color w:val="2E74B5" w:themeColor="accent1" w:themeShade="BF"/>
              </w:rPr>
              <w:t xml:space="preserve">Hypothesis 3: </w:t>
            </w:r>
            <w:r w:rsidRPr="00212288">
              <w:rPr>
                <w:color w:val="2E74B5" w:themeColor="accent1" w:themeShade="BF"/>
              </w:rPr>
              <w:t>Recruitment and selection process does not yield our most talented leaders for our most challenged schools.</w:t>
            </w:r>
            <w:r w:rsidRPr="008D49C4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AB0D2A" w:rsidRPr="00546575" w:rsidTr="003A05D2">
        <w:tc>
          <w:tcPr>
            <w:tcW w:w="246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Lack of consistency in how district-assigned academic coaches support teachers in buildings (depends on coach capacity, relationship with principal, and principal preferences)</w:t>
            </w:r>
          </w:p>
        </w:tc>
        <w:tc>
          <w:tcPr>
            <w:tcW w:w="3979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Principal PD does not really focus on building leadership skills in this domain; focus of teacher evaluation rubric training has been on consistency and accuracy – not on the quality of the feedback.</w:t>
            </w:r>
          </w:p>
        </w:tc>
        <w:tc>
          <w:tcPr>
            <w:tcW w:w="3736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District often selects new, aspiring leaders for priority schools who are hungry, but limited in experience</w:t>
            </w:r>
          </w:p>
        </w:tc>
      </w:tr>
      <w:tr w:rsidR="00AB0D2A" w:rsidRPr="00546575" w:rsidTr="003A05D2"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Skills and attributes of school leadership teams vary widely across schools; so it is difficult to establish a consistent model across schools.</w:t>
            </w:r>
          </w:p>
        </w:tc>
        <w:tc>
          <w:tcPr>
            <w:tcW w:w="3979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Principals don’t have enough time in day to conduct observations and provide bi-weekly feedback with teachers. (Some focus on just a handful of teachers; go deep but not broad; and/or they give very surface</w:t>
            </w:r>
          </w:p>
        </w:tc>
        <w:tc>
          <w:tcPr>
            <w:tcW w:w="3736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Limited incentive for strong, experienced principals to lead our lowest performing schools</w:t>
            </w:r>
          </w:p>
        </w:tc>
      </w:tr>
      <w:tr w:rsidR="00AB0D2A" w:rsidRPr="00546575" w:rsidTr="003A05D2"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No clear pathway, selection criteria, or process for teacher leader roles in schools; (seems to vary by school, but district has limited insight and provides limited guidance on this process)</w:t>
            </w:r>
          </w:p>
        </w:tc>
        <w:tc>
          <w:tcPr>
            <w:tcW w:w="3979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Principals feel comfortable identifying gaps in instructional practice, but struggle to provide strategies and supports to teachers to address instructional gaps level feedback, but more frequently.)</w:t>
            </w:r>
          </w:p>
        </w:tc>
        <w:tc>
          <w:tcPr>
            <w:tcW w:w="3736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Selection process more focused on credentials, desire, and tenure; and does not necessarily select for specific skills and competencies to lead schools.</w:t>
            </w:r>
          </w:p>
        </w:tc>
      </w:tr>
      <w:tr w:rsidR="00AB0D2A" w:rsidRPr="00546575" w:rsidTr="003A05D2"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Principals not providing consistent feedback to leadership team members on their leadership roles</w:t>
            </w:r>
          </w:p>
        </w:tc>
        <w:tc>
          <w:tcPr>
            <w:tcW w:w="3979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Principals rarely experienced high quality instructional feedback and coaching as teacher; so hard for them to provide that for their staff</w:t>
            </w: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  <w:tr w:rsidR="00AB0D2A" w:rsidRPr="00546575" w:rsidTr="003A05D2">
        <w:trPr>
          <w:trHeight w:val="377"/>
        </w:trPr>
        <w:tc>
          <w:tcPr>
            <w:tcW w:w="2466" w:type="dxa"/>
          </w:tcPr>
          <w:p w:rsidR="00AB0D2A" w:rsidRDefault="00AB0D2A" w:rsidP="003A05D2">
            <w:pPr>
              <w:rPr>
                <w:rFonts w:ascii="Open Sans" w:hAnsi="Open Sans" w:cs="Open Sans"/>
                <w:b/>
              </w:rPr>
            </w:pPr>
            <w:r w:rsidRPr="00546575">
              <w:rPr>
                <w:rFonts w:ascii="Open Sans" w:hAnsi="Open Sans" w:cs="Open Sans"/>
                <w:b/>
              </w:rPr>
              <w:t>Why?</w:t>
            </w:r>
          </w:p>
          <w:p w:rsidR="00AB0D2A" w:rsidRPr="00546575" w:rsidRDefault="00AB0D2A" w:rsidP="003A05D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75" w:type="dxa"/>
          </w:tcPr>
          <w:p w:rsidR="00AB0D2A" w:rsidRPr="008A7AE2" w:rsidRDefault="008A7AE2" w:rsidP="003A05D2">
            <w:pPr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Lack of formal leadership roles at schools; no job descriptions for teacher leadership positions; lack of formal process for recruiting/selecting; insufficient support and feedback for teacher leaders to be effective</w:t>
            </w:r>
          </w:p>
        </w:tc>
        <w:tc>
          <w:tcPr>
            <w:tcW w:w="3979" w:type="dxa"/>
          </w:tcPr>
          <w:p w:rsidR="00AB0D2A" w:rsidRPr="008A7AE2" w:rsidRDefault="008A7AE2" w:rsidP="003A05D2">
            <w:pPr>
              <w:tabs>
                <w:tab w:val="left" w:pos="2985"/>
              </w:tabs>
              <w:rPr>
                <w:rFonts w:ascii="Open Sans" w:hAnsi="Open Sans" w:cs="Open Sans"/>
                <w:b/>
                <w:color w:val="2E74B5" w:themeColor="accent1" w:themeShade="BF"/>
              </w:rPr>
            </w:pPr>
            <w:r w:rsidRPr="008A7AE2">
              <w:rPr>
                <w:color w:val="2E74B5" w:themeColor="accent1" w:themeShade="BF"/>
              </w:rPr>
              <w:t>Principals receive very limited coaching on their skills and competencies as instructional leaders; district feedback is primarily focused on meeting goals and compliance</w:t>
            </w:r>
          </w:p>
        </w:tc>
        <w:tc>
          <w:tcPr>
            <w:tcW w:w="3736" w:type="dxa"/>
          </w:tcPr>
          <w:p w:rsidR="00AB0D2A" w:rsidRPr="00546575" w:rsidRDefault="00AB0D2A" w:rsidP="003A05D2">
            <w:pPr>
              <w:rPr>
                <w:rFonts w:ascii="Open Sans" w:hAnsi="Open Sans" w:cs="Open Sans"/>
                <w:b/>
                <w:color w:val="C45911" w:themeColor="accent2" w:themeShade="BF"/>
              </w:rPr>
            </w:pPr>
          </w:p>
        </w:tc>
      </w:tr>
    </w:tbl>
    <w:p w:rsidR="00AB0D2A" w:rsidRDefault="00AB0D2A"/>
    <w:sectPr w:rsidR="00AB0D2A" w:rsidSect="000D27D8">
      <w:pgSz w:w="15840" w:h="12240" w:orient="landscape"/>
      <w:pgMar w:top="1440" w:right="99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AE" w:rsidRDefault="00D429AE" w:rsidP="00AB0D2A">
      <w:pPr>
        <w:spacing w:after="0" w:line="240" w:lineRule="auto"/>
      </w:pPr>
      <w:r>
        <w:separator/>
      </w:r>
    </w:p>
  </w:endnote>
  <w:endnote w:type="continuationSeparator" w:id="0">
    <w:p w:rsidR="00D429AE" w:rsidRDefault="00D429AE" w:rsidP="00AB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AE" w:rsidRDefault="00D429AE" w:rsidP="00AB0D2A">
      <w:pPr>
        <w:spacing w:after="0" w:line="240" w:lineRule="auto"/>
      </w:pPr>
      <w:r>
        <w:separator/>
      </w:r>
    </w:p>
  </w:footnote>
  <w:footnote w:type="continuationSeparator" w:id="0">
    <w:p w:rsidR="00D429AE" w:rsidRDefault="00D429AE" w:rsidP="00AB0D2A">
      <w:pPr>
        <w:spacing w:after="0" w:line="240" w:lineRule="auto"/>
      </w:pPr>
      <w:r>
        <w:continuationSeparator/>
      </w:r>
    </w:p>
  </w:footnote>
  <w:footnote w:id="1">
    <w:p w:rsidR="00AB0D2A" w:rsidRPr="00546575" w:rsidRDefault="00AB0D2A" w:rsidP="00AB0D2A">
      <w:pPr>
        <w:pStyle w:val="FootnoteText"/>
        <w:rPr>
          <w:rFonts w:ascii="Open Sans" w:hAnsi="Open Sans" w:cs="Open Sans"/>
          <w:sz w:val="18"/>
        </w:rPr>
      </w:pPr>
      <w:r w:rsidRPr="00546575">
        <w:rPr>
          <w:rStyle w:val="FootnoteReference"/>
          <w:rFonts w:ascii="Open Sans" w:hAnsi="Open Sans" w:cs="Open Sans"/>
          <w:sz w:val="18"/>
        </w:rPr>
        <w:footnoteRef/>
      </w:r>
      <w:r w:rsidRPr="00546575">
        <w:rPr>
          <w:rFonts w:ascii="Open Sans" w:hAnsi="Open Sans" w:cs="Open Sans"/>
          <w:sz w:val="18"/>
        </w:rPr>
        <w:t xml:space="preserve"> The 5 Whys technique was developed by </w:t>
      </w:r>
      <w:proofErr w:type="spellStart"/>
      <w:r w:rsidRPr="00546575">
        <w:rPr>
          <w:rFonts w:ascii="Open Sans" w:hAnsi="Open Sans" w:cs="Open Sans"/>
          <w:sz w:val="18"/>
        </w:rPr>
        <w:t>Sakichi</w:t>
      </w:r>
      <w:proofErr w:type="spellEnd"/>
      <w:r w:rsidRPr="00546575">
        <w:rPr>
          <w:rFonts w:ascii="Open Sans" w:hAnsi="Open Sans" w:cs="Open Sans"/>
          <w:sz w:val="18"/>
        </w:rPr>
        <w:t xml:space="preserve"> Toyoda, founder of Toyota Industries, in the 1930s and has been widely adapted and used across sectors.</w:t>
      </w:r>
    </w:p>
    <w:p w:rsidR="00AB0D2A" w:rsidRDefault="00AB0D2A" w:rsidP="00AB0D2A">
      <w:pPr>
        <w:pStyle w:val="FootnoteText"/>
      </w:pPr>
    </w:p>
  </w:footnote>
  <w:footnote w:id="2">
    <w:p w:rsidR="008A7AE2" w:rsidRPr="00546575" w:rsidRDefault="008A7AE2" w:rsidP="008A7AE2">
      <w:pPr>
        <w:pStyle w:val="FootnoteText"/>
        <w:rPr>
          <w:rFonts w:ascii="Open Sans" w:hAnsi="Open Sans" w:cs="Open Sans"/>
          <w:sz w:val="18"/>
        </w:rPr>
      </w:pPr>
      <w:r w:rsidRPr="00546575">
        <w:rPr>
          <w:rStyle w:val="FootnoteReference"/>
          <w:rFonts w:ascii="Open Sans" w:hAnsi="Open Sans" w:cs="Open Sans"/>
          <w:sz w:val="18"/>
        </w:rPr>
        <w:footnoteRef/>
      </w:r>
      <w:r w:rsidRPr="00546575">
        <w:rPr>
          <w:rFonts w:ascii="Open Sans" w:hAnsi="Open Sans" w:cs="Open Sans"/>
          <w:sz w:val="18"/>
        </w:rPr>
        <w:t xml:space="preserve"> The 5 Whys technique was developed by </w:t>
      </w:r>
      <w:proofErr w:type="spellStart"/>
      <w:r w:rsidRPr="00546575">
        <w:rPr>
          <w:rFonts w:ascii="Open Sans" w:hAnsi="Open Sans" w:cs="Open Sans"/>
          <w:sz w:val="18"/>
        </w:rPr>
        <w:t>Sakichi</w:t>
      </w:r>
      <w:proofErr w:type="spellEnd"/>
      <w:r w:rsidRPr="00546575">
        <w:rPr>
          <w:rFonts w:ascii="Open Sans" w:hAnsi="Open Sans" w:cs="Open Sans"/>
          <w:sz w:val="18"/>
        </w:rPr>
        <w:t xml:space="preserve"> Toyoda, founder of Toyota Industries, in the 1930s and has been widely adapted and used across sectors.</w:t>
      </w:r>
    </w:p>
    <w:p w:rsidR="008A7AE2" w:rsidRDefault="008A7AE2" w:rsidP="008A7AE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235"/>
    <w:multiLevelType w:val="hybridMultilevel"/>
    <w:tmpl w:val="41085D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2A"/>
    <w:rsid w:val="00212288"/>
    <w:rsid w:val="00814103"/>
    <w:rsid w:val="008A7AE2"/>
    <w:rsid w:val="008D49C4"/>
    <w:rsid w:val="009667DE"/>
    <w:rsid w:val="00AB0D2A"/>
    <w:rsid w:val="00AC6C57"/>
    <w:rsid w:val="00D429AE"/>
    <w:rsid w:val="00EA51AF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9C79E-C41C-4816-AA06-5F5D7740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B0D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B0D2A"/>
  </w:style>
  <w:style w:type="paragraph" w:styleId="FootnoteText">
    <w:name w:val="footnote text"/>
    <w:basedOn w:val="Normal"/>
    <w:link w:val="FootnoteTextChar"/>
    <w:uiPriority w:val="99"/>
    <w:semiHidden/>
    <w:unhideWhenUsed/>
    <w:rsid w:val="00AB0D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D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B136-676E-4E5D-ADED-715AC9C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Buono</dc:creator>
  <cp:keywords/>
  <dc:description/>
  <cp:lastModifiedBy>Adriana Harrington</cp:lastModifiedBy>
  <cp:revision>2</cp:revision>
  <dcterms:created xsi:type="dcterms:W3CDTF">2018-09-28T17:27:00Z</dcterms:created>
  <dcterms:modified xsi:type="dcterms:W3CDTF">2018-09-28T17:27:00Z</dcterms:modified>
</cp:coreProperties>
</file>