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CD475" w14:textId="1391AE3C" w:rsidR="002461D6" w:rsidRPr="008B248A" w:rsidRDefault="008B248A" w:rsidP="008B248A">
      <w:pPr>
        <w:jc w:val="center"/>
        <w:rPr>
          <w:rFonts w:ascii="PermianSlabSerifTypeface" w:hAnsi="PermianSlabSerifTypeface"/>
          <w:sz w:val="28"/>
          <w:szCs w:val="28"/>
        </w:rPr>
      </w:pPr>
      <w:r w:rsidRPr="008B248A">
        <w:rPr>
          <w:rFonts w:ascii="PermianSlabSerifTypeface" w:hAnsi="PermianSlabSerifTypeface"/>
          <w:sz w:val="28"/>
          <w:szCs w:val="28"/>
        </w:rPr>
        <w:t>Significant Disproportionality Overview</w:t>
      </w:r>
    </w:p>
    <w:p w14:paraId="738DB8B0" w14:textId="63A35BDD" w:rsidR="008B248A" w:rsidRDefault="008B248A" w:rsidP="008B248A">
      <w:pPr>
        <w:jc w:val="center"/>
        <w:rPr>
          <w:rFonts w:ascii="PermianSlabSerifTypeface" w:hAnsi="PermianSlabSerifTypeface" w:cs="Open Sans"/>
        </w:rPr>
      </w:pPr>
      <w:r w:rsidRPr="008B248A">
        <w:rPr>
          <w:rFonts w:ascii="PermianSlabSerifTypeface" w:hAnsi="PermianSlabSerifTypeface" w:cs="Open Sans"/>
        </w:rPr>
        <w:t>Slide Notes</w:t>
      </w:r>
    </w:p>
    <w:p w14:paraId="0D081238" w14:textId="1863EBBE" w:rsidR="008B248A" w:rsidRPr="008B248A" w:rsidRDefault="008B248A" w:rsidP="008B248A">
      <w:pPr>
        <w:rPr>
          <w:rFonts w:ascii="Open Sans" w:hAnsi="Open Sans" w:cs="Open Sans"/>
          <w:b/>
          <w:bCs/>
        </w:rPr>
      </w:pPr>
      <w:r w:rsidRPr="008B248A">
        <w:rPr>
          <w:rFonts w:ascii="Open Sans" w:hAnsi="Open Sans" w:cs="Open Sans"/>
          <w:b/>
          <w:bCs/>
        </w:rPr>
        <w:t xml:space="preserve">Slide 4: </w:t>
      </w:r>
    </w:p>
    <w:p w14:paraId="2B26E9C2" w14:textId="77777777" w:rsidR="008B248A" w:rsidRPr="008B248A" w:rsidRDefault="008B248A" w:rsidP="008B248A">
      <w:pPr>
        <w:rPr>
          <w:rFonts w:ascii="Open Sans" w:hAnsi="Open Sans" w:cs="Open Sans"/>
        </w:rPr>
      </w:pPr>
      <w:r w:rsidRPr="008B248A">
        <w:rPr>
          <w:rFonts w:ascii="Open Sans" w:hAnsi="Open Sans" w:cs="Open Sans"/>
        </w:rPr>
        <w:t xml:space="preserve">Significant disproportionality is not something that is explicitly defined under IDEA. It is left to states to define disproportionality and what “significance” means. </w:t>
      </w:r>
    </w:p>
    <w:p w14:paraId="0EE2907F" w14:textId="77777777" w:rsidR="008B248A" w:rsidRPr="008B248A" w:rsidRDefault="008B248A" w:rsidP="008B248A">
      <w:pPr>
        <w:rPr>
          <w:rFonts w:ascii="Open Sans" w:hAnsi="Open Sans" w:cs="Open Sans"/>
        </w:rPr>
      </w:pPr>
      <w:r w:rsidRPr="008B248A">
        <w:rPr>
          <w:rFonts w:ascii="Open Sans" w:hAnsi="Open Sans" w:cs="Open Sans"/>
        </w:rPr>
        <w:t>Three core areas must be assessed by states when developing definitions/calculations of significant disproportionality, which include:</w:t>
      </w:r>
    </w:p>
    <w:p w14:paraId="24CE0386" w14:textId="77777777" w:rsidR="008B248A" w:rsidRPr="008B248A" w:rsidRDefault="008B248A" w:rsidP="008B248A">
      <w:pPr>
        <w:numPr>
          <w:ilvl w:val="0"/>
          <w:numId w:val="1"/>
        </w:numPr>
        <w:rPr>
          <w:rFonts w:ascii="Open Sans" w:hAnsi="Open Sans" w:cs="Open Sans"/>
        </w:rPr>
      </w:pPr>
      <w:r w:rsidRPr="008B248A">
        <w:rPr>
          <w:rFonts w:ascii="Open Sans" w:hAnsi="Open Sans" w:cs="Open Sans"/>
        </w:rPr>
        <w:t>Identification of SWDs overall and in six high-incident disability categories (specific learning disability, speech/language impairments, other health impairments, emotional disturbance, intellectual disability, and autism)</w:t>
      </w:r>
    </w:p>
    <w:p w14:paraId="0E69E5AD" w14:textId="77777777" w:rsidR="008B248A" w:rsidRPr="008B248A" w:rsidRDefault="008B248A" w:rsidP="008B248A">
      <w:pPr>
        <w:numPr>
          <w:ilvl w:val="0"/>
          <w:numId w:val="1"/>
        </w:numPr>
        <w:rPr>
          <w:rFonts w:ascii="Open Sans" w:hAnsi="Open Sans" w:cs="Open Sans"/>
        </w:rPr>
      </w:pPr>
      <w:r w:rsidRPr="008B248A">
        <w:rPr>
          <w:rFonts w:ascii="Open Sans" w:hAnsi="Open Sans" w:cs="Open Sans"/>
        </w:rPr>
        <w:t>Educational placement of SWDs</w:t>
      </w:r>
    </w:p>
    <w:p w14:paraId="0F9CE7F4" w14:textId="77777777" w:rsidR="008B248A" w:rsidRPr="008B248A" w:rsidRDefault="008B248A" w:rsidP="008B248A">
      <w:pPr>
        <w:numPr>
          <w:ilvl w:val="0"/>
          <w:numId w:val="1"/>
        </w:numPr>
        <w:rPr>
          <w:rFonts w:ascii="Open Sans" w:hAnsi="Open Sans" w:cs="Open Sans"/>
        </w:rPr>
      </w:pPr>
      <w:r w:rsidRPr="008B248A">
        <w:rPr>
          <w:rFonts w:ascii="Open Sans" w:hAnsi="Open Sans" w:cs="Open Sans"/>
        </w:rPr>
        <w:t>Discipline of SWDs</w:t>
      </w:r>
    </w:p>
    <w:p w14:paraId="117B47C5" w14:textId="77777777" w:rsidR="008B248A" w:rsidRPr="008B248A" w:rsidRDefault="008B248A" w:rsidP="008B248A">
      <w:pPr>
        <w:rPr>
          <w:rFonts w:ascii="Open Sans" w:hAnsi="Open Sans" w:cs="Open Sans"/>
        </w:rPr>
      </w:pPr>
      <w:r w:rsidRPr="008B248A">
        <w:rPr>
          <w:rFonts w:ascii="Open Sans" w:hAnsi="Open Sans" w:cs="Open Sans"/>
        </w:rPr>
        <w:t>There are 14 subcategories that are included under these three core areas, and each category must be assessed by breaking out the information by race/ethnicity.</w:t>
      </w:r>
    </w:p>
    <w:p w14:paraId="4C57A7D2" w14:textId="2DB5F7C6" w:rsidR="008B248A" w:rsidRPr="008B248A" w:rsidRDefault="008B248A" w:rsidP="008B248A">
      <w:pPr>
        <w:rPr>
          <w:rFonts w:ascii="Open Sans" w:hAnsi="Open Sans" w:cs="Open Sans"/>
          <w:b/>
          <w:bCs/>
        </w:rPr>
      </w:pPr>
      <w:r w:rsidRPr="008B248A">
        <w:rPr>
          <w:rFonts w:ascii="Open Sans" w:hAnsi="Open Sans" w:cs="Open Sans"/>
          <w:b/>
          <w:bCs/>
        </w:rPr>
        <w:t>Slide 5:</w:t>
      </w:r>
    </w:p>
    <w:p w14:paraId="1CC637CA" w14:textId="77777777" w:rsidR="008B248A" w:rsidRPr="008B248A" w:rsidRDefault="008B248A" w:rsidP="008B248A">
      <w:pPr>
        <w:rPr>
          <w:rFonts w:ascii="Open Sans" w:hAnsi="Open Sans" w:cs="Open Sans"/>
        </w:rPr>
      </w:pPr>
      <w:r w:rsidRPr="008B248A">
        <w:rPr>
          <w:rFonts w:ascii="Open Sans" w:hAnsi="Open Sans" w:cs="Open Sans"/>
        </w:rPr>
        <w:t>Is significant disproportionality the same as disproportionate representation, which is reported in the APR?</w:t>
      </w:r>
    </w:p>
    <w:p w14:paraId="7B5710C7" w14:textId="77777777" w:rsidR="008B248A" w:rsidRPr="008B248A" w:rsidRDefault="008B248A" w:rsidP="008B248A">
      <w:pPr>
        <w:numPr>
          <w:ilvl w:val="0"/>
          <w:numId w:val="2"/>
        </w:numPr>
        <w:rPr>
          <w:rFonts w:ascii="Open Sans" w:hAnsi="Open Sans" w:cs="Open Sans"/>
        </w:rPr>
      </w:pPr>
      <w:r w:rsidRPr="008B248A">
        <w:rPr>
          <w:rFonts w:ascii="Open Sans" w:hAnsi="Open Sans" w:cs="Open Sans"/>
        </w:rPr>
        <w:t xml:space="preserve">No. Disproportionate representation relates to APR indicators 9 and 10, and while the data captured is similar, the calculations are not the same. </w:t>
      </w:r>
    </w:p>
    <w:p w14:paraId="562B9EAC" w14:textId="77777777" w:rsidR="008B248A" w:rsidRPr="008B248A" w:rsidRDefault="008B248A" w:rsidP="008B248A">
      <w:pPr>
        <w:numPr>
          <w:ilvl w:val="0"/>
          <w:numId w:val="2"/>
        </w:numPr>
        <w:rPr>
          <w:rFonts w:ascii="Open Sans" w:hAnsi="Open Sans" w:cs="Open Sans"/>
        </w:rPr>
      </w:pPr>
      <w:r w:rsidRPr="008B248A">
        <w:rPr>
          <w:rFonts w:ascii="Open Sans" w:hAnsi="Open Sans" w:cs="Open Sans"/>
        </w:rPr>
        <w:t xml:space="preserve">Like significant disproportionality, disproportionate representation looks at the proportions of SWDs overall and in the six high-incidence disability categories by race/ethnicity. </w:t>
      </w:r>
    </w:p>
    <w:p w14:paraId="62731A67" w14:textId="77777777" w:rsidR="008B248A" w:rsidRPr="008B248A" w:rsidRDefault="008B248A" w:rsidP="008B248A">
      <w:pPr>
        <w:numPr>
          <w:ilvl w:val="0"/>
          <w:numId w:val="2"/>
        </w:numPr>
        <w:rPr>
          <w:rFonts w:ascii="Open Sans" w:hAnsi="Open Sans" w:cs="Open Sans"/>
        </w:rPr>
      </w:pPr>
      <w:r w:rsidRPr="008B248A">
        <w:rPr>
          <w:rFonts w:ascii="Open Sans" w:hAnsi="Open Sans" w:cs="Open Sans"/>
        </w:rPr>
        <w:t xml:space="preserve">However, only one year of data is used, the “n” and cell sizes used in the calculation are different than those used for significant disproportionality, the criteria for being flagged for disproportionate representation are different than the criteria for significant disproportionality (uses relative risk ratios and weight risk ratios), and the implications of being flagged for disproportionate representation are very different. </w:t>
      </w:r>
    </w:p>
    <w:p w14:paraId="74C8CD29" w14:textId="77777777" w:rsidR="008B248A" w:rsidRPr="008B248A" w:rsidRDefault="008B248A" w:rsidP="008B248A">
      <w:pPr>
        <w:numPr>
          <w:ilvl w:val="0"/>
          <w:numId w:val="2"/>
        </w:numPr>
        <w:rPr>
          <w:rFonts w:ascii="Open Sans" w:hAnsi="Open Sans" w:cs="Open Sans"/>
        </w:rPr>
      </w:pPr>
      <w:r w:rsidRPr="008B248A">
        <w:rPr>
          <w:rFonts w:ascii="Open Sans" w:hAnsi="Open Sans" w:cs="Open Sans"/>
        </w:rPr>
        <w:t>Being flagged does not mean that a district is disproportionately identifying SWDs, but that there may be possible disproportionality, which is why flagged districts must complete a self-assessment.</w:t>
      </w:r>
    </w:p>
    <w:p w14:paraId="5673A5BD" w14:textId="77777777" w:rsidR="008B248A" w:rsidRPr="008B248A" w:rsidRDefault="008B248A" w:rsidP="008B248A">
      <w:pPr>
        <w:numPr>
          <w:ilvl w:val="0"/>
          <w:numId w:val="2"/>
        </w:numPr>
        <w:rPr>
          <w:rFonts w:ascii="Open Sans" w:hAnsi="Open Sans" w:cs="Open Sans"/>
        </w:rPr>
      </w:pPr>
      <w:r w:rsidRPr="008B248A">
        <w:rPr>
          <w:rFonts w:ascii="Open Sans" w:hAnsi="Open Sans" w:cs="Open Sans"/>
        </w:rPr>
        <w:t xml:space="preserve">If a district is flagged for disproportionate representation, that does not mean they are going to have significant disproportionality with identification. Similarly, if a district has significant disproportionality </w:t>
      </w:r>
      <w:proofErr w:type="gramStart"/>
      <w:r w:rsidRPr="008B248A">
        <w:rPr>
          <w:rFonts w:ascii="Open Sans" w:hAnsi="Open Sans" w:cs="Open Sans"/>
        </w:rPr>
        <w:t>with regard to</w:t>
      </w:r>
      <w:proofErr w:type="gramEnd"/>
      <w:r w:rsidRPr="008B248A">
        <w:rPr>
          <w:rFonts w:ascii="Open Sans" w:hAnsi="Open Sans" w:cs="Open Sans"/>
        </w:rPr>
        <w:t xml:space="preserve"> identification, that does not necessarily mean they will have disproportionate representation.</w:t>
      </w:r>
    </w:p>
    <w:p w14:paraId="38EF2306" w14:textId="24A8CA06" w:rsidR="008B248A" w:rsidRPr="008B248A" w:rsidRDefault="008B248A" w:rsidP="008B248A">
      <w:pPr>
        <w:rPr>
          <w:rFonts w:ascii="Open Sans" w:hAnsi="Open Sans" w:cs="Open Sans"/>
          <w:b/>
          <w:bCs/>
        </w:rPr>
      </w:pPr>
      <w:r w:rsidRPr="008B248A">
        <w:rPr>
          <w:rFonts w:ascii="Open Sans" w:hAnsi="Open Sans" w:cs="Open Sans"/>
          <w:b/>
          <w:bCs/>
        </w:rPr>
        <w:t>Slide 6:</w:t>
      </w:r>
    </w:p>
    <w:p w14:paraId="684E33C5" w14:textId="77777777" w:rsidR="008B248A" w:rsidRPr="008B248A" w:rsidRDefault="008B248A" w:rsidP="008B248A">
      <w:pPr>
        <w:rPr>
          <w:rFonts w:ascii="Open Sans" w:hAnsi="Open Sans" w:cs="Open Sans"/>
        </w:rPr>
      </w:pPr>
      <w:r w:rsidRPr="008B248A">
        <w:rPr>
          <w:rFonts w:ascii="Open Sans" w:hAnsi="Open Sans" w:cs="Open Sans"/>
        </w:rPr>
        <w:t>To define significant disproportionality, states must develop a standard methodology to calculate significant disproportionality.</w:t>
      </w:r>
    </w:p>
    <w:p w14:paraId="1B25067A" w14:textId="77777777" w:rsidR="008B248A" w:rsidRPr="008B248A" w:rsidRDefault="008B248A" w:rsidP="008B248A">
      <w:pPr>
        <w:rPr>
          <w:rFonts w:ascii="Open Sans" w:hAnsi="Open Sans" w:cs="Open Sans"/>
        </w:rPr>
      </w:pPr>
      <w:r w:rsidRPr="008B248A">
        <w:rPr>
          <w:rFonts w:ascii="Open Sans" w:hAnsi="Open Sans" w:cs="Open Sans"/>
        </w:rPr>
        <w:lastRenderedPageBreak/>
        <w:t xml:space="preserve">To calculate significant disproportionality, risk ratios are used to compare the racial/ethnic </w:t>
      </w:r>
      <w:proofErr w:type="spellStart"/>
      <w:r w:rsidRPr="008B248A">
        <w:rPr>
          <w:rFonts w:ascii="Open Sans" w:hAnsi="Open Sans" w:cs="Open Sans"/>
        </w:rPr>
        <w:t>make up</w:t>
      </w:r>
      <w:proofErr w:type="spellEnd"/>
      <w:r w:rsidRPr="008B248A">
        <w:rPr>
          <w:rFonts w:ascii="Open Sans" w:hAnsi="Open Sans" w:cs="Open Sans"/>
        </w:rPr>
        <w:t xml:space="preserve"> of SWDs in 14 different categories that fall under the three core areas of identification, educational placement, and discipline.</w:t>
      </w:r>
    </w:p>
    <w:p w14:paraId="76763E19" w14:textId="77777777" w:rsidR="008B248A" w:rsidRPr="008B248A" w:rsidRDefault="008B248A" w:rsidP="008B248A">
      <w:pPr>
        <w:rPr>
          <w:rFonts w:ascii="Open Sans" w:hAnsi="Open Sans" w:cs="Open Sans"/>
        </w:rPr>
      </w:pPr>
      <w:r w:rsidRPr="008B248A">
        <w:rPr>
          <w:rFonts w:ascii="Open Sans" w:hAnsi="Open Sans" w:cs="Open Sans"/>
        </w:rPr>
        <w:t>State’s must establish minimum “n” and cell sizes to determine at what point specific racial/ethnic groups should be included in calculations of significant disproportionality. Setting these minimum “n” and cell sizes helps prevent false positives that might occur in districts with small populations of certain racial/ethnic groups.</w:t>
      </w:r>
    </w:p>
    <w:p w14:paraId="313945BC" w14:textId="77777777" w:rsidR="008B248A" w:rsidRPr="008B248A" w:rsidRDefault="008B248A" w:rsidP="008B248A">
      <w:pPr>
        <w:rPr>
          <w:rFonts w:ascii="Open Sans" w:hAnsi="Open Sans" w:cs="Open Sans"/>
        </w:rPr>
      </w:pPr>
      <w:r w:rsidRPr="008B248A">
        <w:rPr>
          <w:rFonts w:ascii="Open Sans" w:hAnsi="Open Sans" w:cs="Open Sans"/>
        </w:rPr>
        <w:t>State’s must also create an alternate risk ratio for instances in which a district has such a homogenous population that comparison groups do not meet the “n” size requirements.</w:t>
      </w:r>
    </w:p>
    <w:p w14:paraId="46CC4A19" w14:textId="5AD843DF" w:rsidR="008B248A" w:rsidRPr="008B248A" w:rsidRDefault="008B248A" w:rsidP="008B248A">
      <w:pPr>
        <w:rPr>
          <w:rFonts w:ascii="Open Sans" w:hAnsi="Open Sans" w:cs="Open Sans"/>
          <w:b/>
          <w:bCs/>
        </w:rPr>
      </w:pPr>
      <w:r w:rsidRPr="008B248A">
        <w:rPr>
          <w:rFonts w:ascii="Open Sans" w:hAnsi="Open Sans" w:cs="Open Sans"/>
          <w:b/>
          <w:bCs/>
        </w:rPr>
        <w:t>Slide 7:</w:t>
      </w:r>
    </w:p>
    <w:p w14:paraId="54EB9CF5" w14:textId="77777777" w:rsidR="008B248A" w:rsidRPr="008B248A" w:rsidRDefault="008B248A" w:rsidP="008B248A">
      <w:pPr>
        <w:rPr>
          <w:rFonts w:ascii="Open Sans" w:hAnsi="Open Sans" w:cs="Open Sans"/>
        </w:rPr>
      </w:pPr>
      <w:r w:rsidRPr="008B248A">
        <w:rPr>
          <w:rFonts w:ascii="Open Sans" w:hAnsi="Open Sans" w:cs="Open Sans"/>
        </w:rPr>
        <w:t>“N” sizes are the sample sizes – they are the population that is being reviewed or considered, and these counts are in the denominator for calculations of risk.</w:t>
      </w:r>
    </w:p>
    <w:p w14:paraId="6DF152B8" w14:textId="77777777" w:rsidR="008B248A" w:rsidRPr="008B248A" w:rsidRDefault="008B248A" w:rsidP="008B248A">
      <w:pPr>
        <w:rPr>
          <w:rFonts w:ascii="Open Sans" w:hAnsi="Open Sans" w:cs="Open Sans"/>
        </w:rPr>
      </w:pPr>
      <w:r w:rsidRPr="008B248A">
        <w:rPr>
          <w:rFonts w:ascii="Open Sans" w:hAnsi="Open Sans" w:cs="Open Sans"/>
        </w:rPr>
        <w:t>Cell sizes are a portion of the “n” size, or sample group – they make up the part of the “n” counts that are experiencing a particular outcome, and these counts are in the numerator for calculations of risk.</w:t>
      </w:r>
    </w:p>
    <w:p w14:paraId="35B09C27" w14:textId="21521440" w:rsidR="008B248A" w:rsidRPr="008B248A" w:rsidRDefault="008B248A" w:rsidP="008B248A">
      <w:pPr>
        <w:rPr>
          <w:rFonts w:ascii="Open Sans" w:hAnsi="Open Sans" w:cs="Open Sans"/>
          <w:b/>
          <w:bCs/>
        </w:rPr>
      </w:pPr>
      <w:r w:rsidRPr="008B248A">
        <w:rPr>
          <w:rFonts w:ascii="Open Sans" w:hAnsi="Open Sans" w:cs="Open Sans"/>
          <w:b/>
          <w:bCs/>
        </w:rPr>
        <w:t>Slide 8:</w:t>
      </w:r>
    </w:p>
    <w:p w14:paraId="1B3345B0" w14:textId="77777777" w:rsidR="008B248A" w:rsidRPr="008B248A" w:rsidRDefault="008B248A" w:rsidP="008B248A">
      <w:pPr>
        <w:rPr>
          <w:rFonts w:ascii="Open Sans" w:hAnsi="Open Sans" w:cs="Open Sans"/>
        </w:rPr>
      </w:pPr>
      <w:r w:rsidRPr="008B248A">
        <w:rPr>
          <w:rFonts w:ascii="Open Sans" w:hAnsi="Open Sans" w:cs="Open Sans"/>
        </w:rPr>
        <w:t xml:space="preserve">Risk is essential to determine significant disproportionality. It is the measure of likelihood of something happening to a </w:t>
      </w:r>
      <w:proofErr w:type="gramStart"/>
      <w:r w:rsidRPr="008B248A">
        <w:rPr>
          <w:rFonts w:ascii="Open Sans" w:hAnsi="Open Sans" w:cs="Open Sans"/>
        </w:rPr>
        <w:t>particular group</w:t>
      </w:r>
      <w:proofErr w:type="gramEnd"/>
      <w:r w:rsidRPr="008B248A">
        <w:rPr>
          <w:rFonts w:ascii="Open Sans" w:hAnsi="Open Sans" w:cs="Open Sans"/>
        </w:rPr>
        <w:t xml:space="preserve">, expressed as a percentage. </w:t>
      </w:r>
    </w:p>
    <w:p w14:paraId="19052098" w14:textId="77777777" w:rsidR="008B248A" w:rsidRPr="008B248A" w:rsidRDefault="008B248A" w:rsidP="008B248A">
      <w:pPr>
        <w:rPr>
          <w:rFonts w:ascii="Open Sans" w:hAnsi="Open Sans" w:cs="Open Sans"/>
        </w:rPr>
      </w:pPr>
      <w:r w:rsidRPr="008B248A">
        <w:rPr>
          <w:rFonts w:ascii="Open Sans" w:hAnsi="Open Sans" w:cs="Open Sans"/>
        </w:rPr>
        <w:t xml:space="preserve">Risk is calculated by dividing the number of children from a racial/ethnic group who, for example, are identified as SWDs, by the total number of children from that same racial/ethnic group who are enrolled in the </w:t>
      </w:r>
      <w:proofErr w:type="gramStart"/>
      <w:r w:rsidRPr="008B248A">
        <w:rPr>
          <w:rFonts w:ascii="Open Sans" w:hAnsi="Open Sans" w:cs="Open Sans"/>
        </w:rPr>
        <w:t>district as a whole</w:t>
      </w:r>
      <w:proofErr w:type="gramEnd"/>
      <w:r w:rsidRPr="008B248A">
        <w:rPr>
          <w:rFonts w:ascii="Open Sans" w:hAnsi="Open Sans" w:cs="Open Sans"/>
        </w:rPr>
        <w:t xml:space="preserve">. </w:t>
      </w:r>
    </w:p>
    <w:p w14:paraId="64DFA3EE" w14:textId="16133F37" w:rsidR="008B248A" w:rsidRPr="008B248A" w:rsidRDefault="008B248A" w:rsidP="008B248A">
      <w:pPr>
        <w:rPr>
          <w:rFonts w:ascii="Open Sans" w:hAnsi="Open Sans" w:cs="Open Sans"/>
          <w:b/>
          <w:bCs/>
        </w:rPr>
      </w:pPr>
      <w:r w:rsidRPr="008B248A">
        <w:rPr>
          <w:rFonts w:ascii="Open Sans" w:hAnsi="Open Sans" w:cs="Open Sans"/>
          <w:b/>
          <w:bCs/>
        </w:rPr>
        <w:t xml:space="preserve">Slide 9: </w:t>
      </w:r>
    </w:p>
    <w:p w14:paraId="405910E9" w14:textId="77777777" w:rsidR="008B248A" w:rsidRPr="008B248A" w:rsidRDefault="008B248A" w:rsidP="008B248A">
      <w:pPr>
        <w:rPr>
          <w:rFonts w:ascii="Open Sans" w:hAnsi="Open Sans" w:cs="Open Sans"/>
        </w:rPr>
      </w:pPr>
      <w:r w:rsidRPr="008B248A">
        <w:rPr>
          <w:rFonts w:ascii="Open Sans" w:hAnsi="Open Sans" w:cs="Open Sans"/>
        </w:rPr>
        <w:t xml:space="preserve">Risk ratios compare the risk of a certain outcome for a </w:t>
      </w:r>
      <w:proofErr w:type="gramStart"/>
      <w:r w:rsidRPr="008B248A">
        <w:rPr>
          <w:rFonts w:ascii="Open Sans" w:hAnsi="Open Sans" w:cs="Open Sans"/>
        </w:rPr>
        <w:t>particular racial/ethnic</w:t>
      </w:r>
      <w:proofErr w:type="gramEnd"/>
      <w:r w:rsidRPr="008B248A">
        <w:rPr>
          <w:rFonts w:ascii="Open Sans" w:hAnsi="Open Sans" w:cs="Open Sans"/>
        </w:rPr>
        <w:t xml:space="preserve"> group to the risk of that same outcome for all other children in the district.</w:t>
      </w:r>
    </w:p>
    <w:p w14:paraId="33EA814E" w14:textId="77777777" w:rsidR="008B248A" w:rsidRPr="008B248A" w:rsidRDefault="008B248A" w:rsidP="008B248A">
      <w:pPr>
        <w:rPr>
          <w:rFonts w:ascii="Open Sans" w:hAnsi="Open Sans" w:cs="Open Sans"/>
        </w:rPr>
      </w:pPr>
      <w:r w:rsidRPr="008B248A">
        <w:rPr>
          <w:rFonts w:ascii="Open Sans" w:hAnsi="Open Sans" w:cs="Open Sans"/>
        </w:rPr>
        <w:t>Risk ratios are calculated by dividing the risk of a particular outcome – for example, being identified with a disability – for particular racial/ethnic group in an LEA by the risk of that same outcome – being identified with a disability – for all other racial/ethnic groups within the district. This second group is the comparison group.</w:t>
      </w:r>
    </w:p>
    <w:p w14:paraId="7B6CCF95" w14:textId="64AF03EB" w:rsidR="008B248A" w:rsidRPr="008B248A" w:rsidRDefault="008B248A" w:rsidP="008B248A">
      <w:pPr>
        <w:rPr>
          <w:rFonts w:ascii="Open Sans" w:hAnsi="Open Sans" w:cs="Open Sans"/>
          <w:b/>
          <w:bCs/>
        </w:rPr>
      </w:pPr>
      <w:r w:rsidRPr="008B248A">
        <w:rPr>
          <w:rFonts w:ascii="Open Sans" w:hAnsi="Open Sans" w:cs="Open Sans"/>
          <w:b/>
          <w:bCs/>
        </w:rPr>
        <w:t>Slide 10:</w:t>
      </w:r>
    </w:p>
    <w:p w14:paraId="3EB9752F" w14:textId="77777777" w:rsidR="008B248A" w:rsidRPr="008B248A" w:rsidRDefault="008B248A" w:rsidP="008B248A">
      <w:pPr>
        <w:rPr>
          <w:rFonts w:ascii="Open Sans" w:hAnsi="Open Sans" w:cs="Open Sans"/>
        </w:rPr>
      </w:pPr>
      <w:r w:rsidRPr="008B248A">
        <w:rPr>
          <w:rFonts w:ascii="Open Sans" w:hAnsi="Open Sans" w:cs="Open Sans"/>
        </w:rPr>
        <w:t>Let’s say for example that the state is calculating the risk ratios for Hispanic students identified with a disability.</w:t>
      </w:r>
    </w:p>
    <w:p w14:paraId="6BD1568D" w14:textId="77777777" w:rsidR="008B248A" w:rsidRPr="008B248A" w:rsidRDefault="008B248A" w:rsidP="008B248A">
      <w:pPr>
        <w:rPr>
          <w:rFonts w:ascii="Open Sans" w:hAnsi="Open Sans" w:cs="Open Sans"/>
        </w:rPr>
      </w:pPr>
      <w:r w:rsidRPr="008B248A">
        <w:rPr>
          <w:rFonts w:ascii="Open Sans" w:hAnsi="Open Sans" w:cs="Open Sans"/>
        </w:rPr>
        <w:t>District X has 4400 students</w:t>
      </w:r>
    </w:p>
    <w:p w14:paraId="58F24E31" w14:textId="77777777" w:rsidR="008B248A" w:rsidRPr="008B248A" w:rsidRDefault="008B248A" w:rsidP="008B248A">
      <w:pPr>
        <w:numPr>
          <w:ilvl w:val="0"/>
          <w:numId w:val="3"/>
        </w:numPr>
        <w:rPr>
          <w:rFonts w:ascii="Open Sans" w:hAnsi="Open Sans" w:cs="Open Sans"/>
        </w:rPr>
      </w:pPr>
      <w:r w:rsidRPr="008B248A">
        <w:rPr>
          <w:rFonts w:ascii="Open Sans" w:hAnsi="Open Sans" w:cs="Open Sans"/>
        </w:rPr>
        <w:t>400 students are Hispanic</w:t>
      </w:r>
    </w:p>
    <w:p w14:paraId="62AE8816" w14:textId="77777777" w:rsidR="008B248A" w:rsidRPr="008B248A" w:rsidRDefault="008B248A" w:rsidP="008B248A">
      <w:pPr>
        <w:numPr>
          <w:ilvl w:val="0"/>
          <w:numId w:val="3"/>
        </w:numPr>
        <w:rPr>
          <w:rFonts w:ascii="Open Sans" w:hAnsi="Open Sans" w:cs="Open Sans"/>
        </w:rPr>
      </w:pPr>
      <w:r w:rsidRPr="008B248A">
        <w:rPr>
          <w:rFonts w:ascii="Open Sans" w:hAnsi="Open Sans" w:cs="Open Sans"/>
        </w:rPr>
        <w:t>4000 students are in the six other racial/ethnic groups</w:t>
      </w:r>
    </w:p>
    <w:p w14:paraId="5CA7AF79" w14:textId="77777777" w:rsidR="008B248A" w:rsidRPr="008B248A" w:rsidRDefault="008B248A" w:rsidP="008B248A">
      <w:pPr>
        <w:rPr>
          <w:rFonts w:ascii="Open Sans" w:hAnsi="Open Sans" w:cs="Open Sans"/>
        </w:rPr>
      </w:pPr>
      <w:r w:rsidRPr="008B248A">
        <w:rPr>
          <w:rFonts w:ascii="Open Sans" w:hAnsi="Open Sans" w:cs="Open Sans"/>
        </w:rPr>
        <w:t>District X has 240 SWDs</w:t>
      </w:r>
    </w:p>
    <w:p w14:paraId="28039BFC" w14:textId="77777777" w:rsidR="008B248A" w:rsidRPr="008B248A" w:rsidRDefault="008B248A" w:rsidP="008B248A">
      <w:pPr>
        <w:numPr>
          <w:ilvl w:val="0"/>
          <w:numId w:val="4"/>
        </w:numPr>
        <w:rPr>
          <w:rFonts w:ascii="Open Sans" w:hAnsi="Open Sans" w:cs="Open Sans"/>
        </w:rPr>
      </w:pPr>
      <w:r w:rsidRPr="008B248A">
        <w:rPr>
          <w:rFonts w:ascii="Open Sans" w:hAnsi="Open Sans" w:cs="Open Sans"/>
        </w:rPr>
        <w:t>40 SWDs are Hispanic</w:t>
      </w:r>
    </w:p>
    <w:p w14:paraId="2D83E305" w14:textId="77777777" w:rsidR="008B248A" w:rsidRPr="008B248A" w:rsidRDefault="008B248A" w:rsidP="008B248A">
      <w:pPr>
        <w:numPr>
          <w:ilvl w:val="0"/>
          <w:numId w:val="4"/>
        </w:numPr>
        <w:rPr>
          <w:rFonts w:ascii="Open Sans" w:hAnsi="Open Sans" w:cs="Open Sans"/>
        </w:rPr>
      </w:pPr>
      <w:r w:rsidRPr="008B248A">
        <w:rPr>
          <w:rFonts w:ascii="Open Sans" w:hAnsi="Open Sans" w:cs="Open Sans"/>
        </w:rPr>
        <w:lastRenderedPageBreak/>
        <w:t>200 SWDs are in the six other racial/ethnic groups</w:t>
      </w:r>
    </w:p>
    <w:p w14:paraId="37A913CE" w14:textId="77777777" w:rsidR="008B248A" w:rsidRPr="008B248A" w:rsidRDefault="008B248A" w:rsidP="008B248A">
      <w:pPr>
        <w:rPr>
          <w:rFonts w:ascii="Open Sans" w:hAnsi="Open Sans" w:cs="Open Sans"/>
        </w:rPr>
      </w:pPr>
      <w:r w:rsidRPr="008B248A">
        <w:rPr>
          <w:rFonts w:ascii="Open Sans" w:hAnsi="Open Sans" w:cs="Open Sans"/>
        </w:rPr>
        <w:t xml:space="preserve">To calculate the risk of Hispanic student being identified with a disability, I take the cell size of 40 SWDs who are </w:t>
      </w:r>
      <w:proofErr w:type="gramStart"/>
      <w:r w:rsidRPr="008B248A">
        <w:rPr>
          <w:rFonts w:ascii="Open Sans" w:hAnsi="Open Sans" w:cs="Open Sans"/>
        </w:rPr>
        <w:t>Hispanic, and</w:t>
      </w:r>
      <w:proofErr w:type="gramEnd"/>
      <w:r w:rsidRPr="008B248A">
        <w:rPr>
          <w:rFonts w:ascii="Open Sans" w:hAnsi="Open Sans" w:cs="Open Sans"/>
        </w:rPr>
        <w:t xml:space="preserve"> divide this by the “n” size of 400 total students in the district who are Hispanic. I multiply this output by 100% and get a risk of 10%. This means that 10% of Hispanic students in District X are likely to have a disability.</w:t>
      </w:r>
    </w:p>
    <w:p w14:paraId="6C698945" w14:textId="77777777" w:rsidR="008B248A" w:rsidRPr="008B248A" w:rsidRDefault="008B248A" w:rsidP="008B248A">
      <w:pPr>
        <w:rPr>
          <w:rFonts w:ascii="Open Sans" w:hAnsi="Open Sans" w:cs="Open Sans"/>
        </w:rPr>
      </w:pPr>
      <w:r w:rsidRPr="008B248A">
        <w:rPr>
          <w:rFonts w:ascii="Open Sans" w:hAnsi="Open Sans" w:cs="Open Sans"/>
        </w:rPr>
        <w:t xml:space="preserve">Now I want to know if that number is high when compared to all the other racial/ethnic groups. </w:t>
      </w:r>
      <w:proofErr w:type="gramStart"/>
      <w:r w:rsidRPr="008B248A">
        <w:rPr>
          <w:rFonts w:ascii="Open Sans" w:hAnsi="Open Sans" w:cs="Open Sans"/>
        </w:rPr>
        <w:t>So</w:t>
      </w:r>
      <w:proofErr w:type="gramEnd"/>
      <w:r w:rsidRPr="008B248A">
        <w:rPr>
          <w:rFonts w:ascii="Open Sans" w:hAnsi="Open Sans" w:cs="Open Sans"/>
        </w:rPr>
        <w:t xml:space="preserve"> I’m going to calculate risk for the other racial/ethnic groups by dividing the cell size of 200 SWDs in the six other racial/ethnic groups and divide this by the “n” size of 4000 students who are in the six other racial/ethnic groups. I multiply this output by 100% and get a risk of 5%. This means that five percent of students in the six other racial/ethnic groups in District X are likely to have a disability.</w:t>
      </w:r>
    </w:p>
    <w:p w14:paraId="27C40831" w14:textId="77777777" w:rsidR="008B248A" w:rsidRPr="008B248A" w:rsidRDefault="008B248A" w:rsidP="008B248A">
      <w:pPr>
        <w:rPr>
          <w:rFonts w:ascii="Open Sans" w:hAnsi="Open Sans" w:cs="Open Sans"/>
        </w:rPr>
      </w:pPr>
      <w:r w:rsidRPr="008B248A">
        <w:rPr>
          <w:rFonts w:ascii="Open Sans" w:hAnsi="Open Sans" w:cs="Open Sans"/>
        </w:rPr>
        <w:t>To compare the risk for Hispanic students versus all other racial/ethnic groups, I divide the risk of Hispanic students being identified with a disability – 10% - by the risk of students in all the other racial/ethnic groups being identified with a disability – 5%. This gives me a risk ratio of 2.0. What this means is that if I’m a Hispanic student in District X, I am two times more likely than any other racial/ethnic group to be identified with a disability.</w:t>
      </w:r>
    </w:p>
    <w:p w14:paraId="29363938" w14:textId="1D22E481" w:rsidR="008B248A" w:rsidRPr="008B248A" w:rsidRDefault="008B248A" w:rsidP="008B248A">
      <w:pPr>
        <w:rPr>
          <w:rFonts w:ascii="Open Sans" w:hAnsi="Open Sans" w:cs="Open Sans"/>
          <w:b/>
          <w:bCs/>
        </w:rPr>
      </w:pPr>
      <w:r w:rsidRPr="008B248A">
        <w:rPr>
          <w:rFonts w:ascii="Open Sans" w:hAnsi="Open Sans" w:cs="Open Sans"/>
          <w:b/>
          <w:bCs/>
        </w:rPr>
        <w:t xml:space="preserve">Slide 11: </w:t>
      </w:r>
    </w:p>
    <w:p w14:paraId="071FD1D1" w14:textId="77777777" w:rsidR="008B248A" w:rsidRPr="008B248A" w:rsidRDefault="008B248A" w:rsidP="008B248A">
      <w:pPr>
        <w:rPr>
          <w:rFonts w:ascii="Open Sans" w:hAnsi="Open Sans" w:cs="Open Sans"/>
        </w:rPr>
      </w:pPr>
      <w:r w:rsidRPr="008B248A">
        <w:rPr>
          <w:rFonts w:ascii="Open Sans" w:hAnsi="Open Sans" w:cs="Open Sans"/>
        </w:rPr>
        <w:t xml:space="preserve">Alternate risk ratios are only used in districts with very homogenous populations. In such instances, the comparison groups being assessed won’t meet the minimum “n” sizes to have risks calculated. </w:t>
      </w:r>
    </w:p>
    <w:p w14:paraId="6AC0EC8E" w14:textId="77777777" w:rsidR="008B248A" w:rsidRPr="008B248A" w:rsidRDefault="008B248A" w:rsidP="008B248A">
      <w:pPr>
        <w:rPr>
          <w:rFonts w:ascii="Open Sans" w:hAnsi="Open Sans" w:cs="Open Sans"/>
        </w:rPr>
      </w:pPr>
      <w:r w:rsidRPr="008B248A">
        <w:rPr>
          <w:rFonts w:ascii="Open Sans" w:hAnsi="Open Sans" w:cs="Open Sans"/>
        </w:rPr>
        <w:t xml:space="preserve">As an example, let’s say that my minimum cell size is 10 (meaning there must be 10 or more SWDs in a particular racial/ethnic group to be included in calculations of significant disproportionality) and my minimum “n” size is 30 (meaning there must be 30 or more total students in a particular racial/ethnic group in the district to be included in calculations of significant disproportionality). District X has 500 students and 490 of these students are American Indian. </w:t>
      </w:r>
    </w:p>
    <w:p w14:paraId="063FF52E" w14:textId="77777777" w:rsidR="008B248A" w:rsidRPr="008B248A" w:rsidRDefault="008B248A" w:rsidP="008B248A">
      <w:pPr>
        <w:numPr>
          <w:ilvl w:val="0"/>
          <w:numId w:val="5"/>
        </w:numPr>
        <w:rPr>
          <w:rFonts w:ascii="Open Sans" w:hAnsi="Open Sans" w:cs="Open Sans"/>
        </w:rPr>
      </w:pPr>
      <w:r w:rsidRPr="008B248A">
        <w:rPr>
          <w:rFonts w:ascii="Open Sans" w:hAnsi="Open Sans" w:cs="Open Sans"/>
        </w:rPr>
        <w:t>80 of the 490 American Indian students have a disability.</w:t>
      </w:r>
    </w:p>
    <w:p w14:paraId="5EADA746" w14:textId="77777777" w:rsidR="008B248A" w:rsidRPr="008B248A" w:rsidRDefault="008B248A" w:rsidP="008B248A">
      <w:pPr>
        <w:numPr>
          <w:ilvl w:val="0"/>
          <w:numId w:val="5"/>
        </w:numPr>
        <w:rPr>
          <w:rFonts w:ascii="Open Sans" w:hAnsi="Open Sans" w:cs="Open Sans"/>
        </w:rPr>
      </w:pPr>
      <w:r w:rsidRPr="008B248A">
        <w:rPr>
          <w:rFonts w:ascii="Open Sans" w:hAnsi="Open Sans" w:cs="Open Sans"/>
        </w:rPr>
        <w:t xml:space="preserve">To calculate the risk of an American Indian student being identified with a disability, I divide the 80 American Indian SWDs by the 490 total American Indian students in the district. </w:t>
      </w:r>
    </w:p>
    <w:p w14:paraId="46F6FFCC" w14:textId="77777777" w:rsidR="008B248A" w:rsidRPr="008B248A" w:rsidRDefault="008B248A" w:rsidP="008B248A">
      <w:pPr>
        <w:rPr>
          <w:rFonts w:ascii="Open Sans" w:hAnsi="Open Sans" w:cs="Open Sans"/>
        </w:rPr>
      </w:pPr>
      <w:r w:rsidRPr="008B248A">
        <w:rPr>
          <w:rFonts w:ascii="Open Sans" w:hAnsi="Open Sans" w:cs="Open Sans"/>
        </w:rPr>
        <w:t xml:space="preserve">Now I need to calculate the risk of my comparison groups being identified with a disability so that I can generate my risk ratio. In District X, there are only 10 total students enrolled in the district who are not American Indian. This is my comparison “n” size, which does not meet the minimum I set of 30 students. In this example, I will have to use a different comparison group so that District X’s risk ratio doesn’t appear higher simply because the district has a homogenous population. Instead of using a comparison group for the district, I will make my comparison group the state population. </w:t>
      </w:r>
    </w:p>
    <w:p w14:paraId="5EA4F537" w14:textId="216DA626" w:rsidR="008B248A" w:rsidRPr="008B248A" w:rsidRDefault="008B248A" w:rsidP="008B248A">
      <w:pPr>
        <w:rPr>
          <w:rFonts w:ascii="Open Sans" w:hAnsi="Open Sans" w:cs="Open Sans"/>
          <w:b/>
          <w:bCs/>
        </w:rPr>
      </w:pPr>
      <w:r w:rsidRPr="008B248A">
        <w:rPr>
          <w:rFonts w:ascii="Open Sans" w:hAnsi="Open Sans" w:cs="Open Sans"/>
          <w:b/>
          <w:bCs/>
        </w:rPr>
        <w:t>Slide 12:</w:t>
      </w:r>
    </w:p>
    <w:p w14:paraId="0AFE873E" w14:textId="77777777" w:rsidR="008B248A" w:rsidRPr="008B248A" w:rsidRDefault="008B248A" w:rsidP="008B248A">
      <w:pPr>
        <w:rPr>
          <w:rFonts w:ascii="Open Sans" w:hAnsi="Open Sans" w:cs="Open Sans"/>
        </w:rPr>
      </w:pPr>
      <w:r w:rsidRPr="008B248A">
        <w:rPr>
          <w:rFonts w:ascii="Open Sans" w:hAnsi="Open Sans" w:cs="Open Sans"/>
        </w:rPr>
        <w:t xml:space="preserve">To know whether a risk ratio is high or not, states must develop a risk ratio threshold. This is the threshold over which significant disproportionality is determined. </w:t>
      </w:r>
    </w:p>
    <w:p w14:paraId="068BBEAC" w14:textId="0592005E" w:rsidR="008B248A" w:rsidRDefault="008B248A" w:rsidP="008B248A">
      <w:pPr>
        <w:rPr>
          <w:rFonts w:ascii="Open Sans" w:hAnsi="Open Sans" w:cs="Open Sans"/>
        </w:rPr>
      </w:pPr>
      <w:r w:rsidRPr="008B248A">
        <w:rPr>
          <w:rFonts w:ascii="Open Sans" w:hAnsi="Open Sans" w:cs="Open Sans"/>
        </w:rPr>
        <w:t>Thresholds can vary by the 14 categories being analyzed, and states can require that thresholds be exceeded for up to three consecutive years for the district is determined to have significant disproportionality</w:t>
      </w:r>
      <w:r>
        <w:rPr>
          <w:rFonts w:ascii="Open Sans" w:hAnsi="Open Sans" w:cs="Open Sans"/>
        </w:rPr>
        <w:t>.</w:t>
      </w:r>
    </w:p>
    <w:p w14:paraId="4D24D5D6" w14:textId="1DA68123" w:rsidR="008B248A" w:rsidRPr="008B248A" w:rsidRDefault="008B248A" w:rsidP="008B248A">
      <w:pPr>
        <w:rPr>
          <w:rFonts w:ascii="Open Sans" w:hAnsi="Open Sans" w:cs="Open Sans"/>
          <w:b/>
          <w:bCs/>
        </w:rPr>
      </w:pPr>
      <w:r w:rsidRPr="008B248A">
        <w:rPr>
          <w:rFonts w:ascii="Open Sans" w:hAnsi="Open Sans" w:cs="Open Sans"/>
          <w:b/>
          <w:bCs/>
        </w:rPr>
        <w:lastRenderedPageBreak/>
        <w:t>Slide 14:</w:t>
      </w:r>
    </w:p>
    <w:p w14:paraId="4EB937F9" w14:textId="77777777" w:rsidR="008B248A" w:rsidRPr="008B248A" w:rsidRDefault="008B248A" w:rsidP="008B248A">
      <w:pPr>
        <w:rPr>
          <w:rFonts w:ascii="Open Sans" w:hAnsi="Open Sans" w:cs="Open Sans"/>
        </w:rPr>
      </w:pPr>
      <w:r w:rsidRPr="008B248A">
        <w:rPr>
          <w:rFonts w:ascii="Open Sans" w:hAnsi="Open Sans" w:cs="Open Sans"/>
        </w:rPr>
        <w:t xml:space="preserve">For identification, the criteria outlined must be met for three consecutive years. </w:t>
      </w:r>
    </w:p>
    <w:p w14:paraId="32A5181C" w14:textId="77777777" w:rsidR="008B248A" w:rsidRPr="008B248A" w:rsidRDefault="008B248A" w:rsidP="008B248A">
      <w:pPr>
        <w:rPr>
          <w:rFonts w:ascii="Open Sans" w:hAnsi="Open Sans" w:cs="Open Sans"/>
        </w:rPr>
      </w:pPr>
      <w:r w:rsidRPr="008B248A">
        <w:rPr>
          <w:rFonts w:ascii="Open Sans" w:hAnsi="Open Sans" w:cs="Open Sans"/>
        </w:rPr>
        <w:t xml:space="preserve">There must be a cell size minimum of 10 SWDs (ages 3-21) in a </w:t>
      </w:r>
      <w:proofErr w:type="gramStart"/>
      <w:r w:rsidRPr="008B248A">
        <w:rPr>
          <w:rFonts w:ascii="Open Sans" w:hAnsi="Open Sans" w:cs="Open Sans"/>
        </w:rPr>
        <w:t>particular racial/ethnic</w:t>
      </w:r>
      <w:proofErr w:type="gramEnd"/>
      <w:r w:rsidRPr="008B248A">
        <w:rPr>
          <w:rFonts w:ascii="Open Sans" w:hAnsi="Open Sans" w:cs="Open Sans"/>
        </w:rPr>
        <w:t xml:space="preserve"> group that qualifies for one of the following categories:</w:t>
      </w:r>
    </w:p>
    <w:p w14:paraId="029ABD0C" w14:textId="77777777" w:rsidR="008B248A" w:rsidRPr="008B248A" w:rsidRDefault="008B248A" w:rsidP="008B248A">
      <w:pPr>
        <w:numPr>
          <w:ilvl w:val="0"/>
          <w:numId w:val="6"/>
        </w:numPr>
        <w:rPr>
          <w:rFonts w:ascii="Open Sans" w:hAnsi="Open Sans" w:cs="Open Sans"/>
        </w:rPr>
      </w:pPr>
      <w:r w:rsidRPr="008B248A">
        <w:rPr>
          <w:rFonts w:ascii="Open Sans" w:hAnsi="Open Sans" w:cs="Open Sans"/>
        </w:rPr>
        <w:t>Identified with any federal disability (overall)</w:t>
      </w:r>
    </w:p>
    <w:p w14:paraId="055324CB" w14:textId="77777777" w:rsidR="008B248A" w:rsidRPr="008B248A" w:rsidRDefault="008B248A" w:rsidP="008B248A">
      <w:pPr>
        <w:numPr>
          <w:ilvl w:val="0"/>
          <w:numId w:val="6"/>
        </w:numPr>
        <w:rPr>
          <w:rFonts w:ascii="Open Sans" w:hAnsi="Open Sans" w:cs="Open Sans"/>
        </w:rPr>
      </w:pPr>
      <w:r w:rsidRPr="008B248A">
        <w:rPr>
          <w:rFonts w:ascii="Open Sans" w:hAnsi="Open Sans" w:cs="Open Sans"/>
        </w:rPr>
        <w:t>Autism</w:t>
      </w:r>
    </w:p>
    <w:p w14:paraId="61B73266" w14:textId="77777777" w:rsidR="008B248A" w:rsidRPr="008B248A" w:rsidRDefault="008B248A" w:rsidP="008B248A">
      <w:pPr>
        <w:numPr>
          <w:ilvl w:val="0"/>
          <w:numId w:val="6"/>
        </w:numPr>
        <w:rPr>
          <w:rFonts w:ascii="Open Sans" w:hAnsi="Open Sans" w:cs="Open Sans"/>
        </w:rPr>
      </w:pPr>
      <w:r w:rsidRPr="008B248A">
        <w:rPr>
          <w:rFonts w:ascii="Open Sans" w:hAnsi="Open Sans" w:cs="Open Sans"/>
        </w:rPr>
        <w:t>Emotional Disturbance</w:t>
      </w:r>
    </w:p>
    <w:p w14:paraId="4C155BCB" w14:textId="77777777" w:rsidR="008B248A" w:rsidRPr="008B248A" w:rsidRDefault="008B248A" w:rsidP="008B248A">
      <w:pPr>
        <w:numPr>
          <w:ilvl w:val="0"/>
          <w:numId w:val="6"/>
        </w:numPr>
        <w:rPr>
          <w:rFonts w:ascii="Open Sans" w:hAnsi="Open Sans" w:cs="Open Sans"/>
        </w:rPr>
      </w:pPr>
      <w:r w:rsidRPr="008B248A">
        <w:rPr>
          <w:rFonts w:ascii="Open Sans" w:hAnsi="Open Sans" w:cs="Open Sans"/>
        </w:rPr>
        <w:t>Intellectual Disability</w:t>
      </w:r>
    </w:p>
    <w:p w14:paraId="6A6F691D" w14:textId="77777777" w:rsidR="008B248A" w:rsidRPr="008B248A" w:rsidRDefault="008B248A" w:rsidP="008B248A">
      <w:pPr>
        <w:numPr>
          <w:ilvl w:val="0"/>
          <w:numId w:val="6"/>
        </w:numPr>
        <w:rPr>
          <w:rFonts w:ascii="Open Sans" w:hAnsi="Open Sans" w:cs="Open Sans"/>
        </w:rPr>
      </w:pPr>
      <w:r w:rsidRPr="008B248A">
        <w:rPr>
          <w:rFonts w:ascii="Open Sans" w:hAnsi="Open Sans" w:cs="Open Sans"/>
        </w:rPr>
        <w:t>Other Health Impairment</w:t>
      </w:r>
    </w:p>
    <w:p w14:paraId="4F206CBA" w14:textId="77777777" w:rsidR="008B248A" w:rsidRPr="008B248A" w:rsidRDefault="008B248A" w:rsidP="008B248A">
      <w:pPr>
        <w:numPr>
          <w:ilvl w:val="0"/>
          <w:numId w:val="6"/>
        </w:numPr>
        <w:rPr>
          <w:rFonts w:ascii="Open Sans" w:hAnsi="Open Sans" w:cs="Open Sans"/>
        </w:rPr>
      </w:pPr>
      <w:r w:rsidRPr="008B248A">
        <w:rPr>
          <w:rFonts w:ascii="Open Sans" w:hAnsi="Open Sans" w:cs="Open Sans"/>
        </w:rPr>
        <w:t>Specific Learning Disability</w:t>
      </w:r>
    </w:p>
    <w:p w14:paraId="29F80AB1" w14:textId="77777777" w:rsidR="008B248A" w:rsidRPr="008B248A" w:rsidRDefault="008B248A" w:rsidP="008B248A">
      <w:pPr>
        <w:numPr>
          <w:ilvl w:val="0"/>
          <w:numId w:val="6"/>
        </w:numPr>
        <w:rPr>
          <w:rFonts w:ascii="Open Sans" w:hAnsi="Open Sans" w:cs="Open Sans"/>
        </w:rPr>
      </w:pPr>
      <w:r w:rsidRPr="008B248A">
        <w:rPr>
          <w:rFonts w:ascii="Open Sans" w:hAnsi="Open Sans" w:cs="Open Sans"/>
        </w:rPr>
        <w:t>Speech/Language Impairment</w:t>
      </w:r>
    </w:p>
    <w:p w14:paraId="2BBEEA17" w14:textId="77777777" w:rsidR="008B248A" w:rsidRPr="008B248A" w:rsidRDefault="008B248A" w:rsidP="008B248A">
      <w:pPr>
        <w:rPr>
          <w:rFonts w:ascii="Open Sans" w:hAnsi="Open Sans" w:cs="Open Sans"/>
        </w:rPr>
      </w:pPr>
      <w:r w:rsidRPr="008B248A">
        <w:rPr>
          <w:rFonts w:ascii="Open Sans" w:hAnsi="Open Sans" w:cs="Open Sans"/>
        </w:rPr>
        <w:t xml:space="preserve">There must be a “N” size minimum of 30 or more students (ages 3-21) in a </w:t>
      </w:r>
      <w:proofErr w:type="gramStart"/>
      <w:r w:rsidRPr="008B248A">
        <w:rPr>
          <w:rFonts w:ascii="Open Sans" w:hAnsi="Open Sans" w:cs="Open Sans"/>
        </w:rPr>
        <w:t>particular racial/ethnic</w:t>
      </w:r>
      <w:proofErr w:type="gramEnd"/>
      <w:r w:rsidRPr="008B248A">
        <w:rPr>
          <w:rFonts w:ascii="Open Sans" w:hAnsi="Open Sans" w:cs="Open Sans"/>
        </w:rPr>
        <w:t xml:space="preserve"> group.</w:t>
      </w:r>
    </w:p>
    <w:p w14:paraId="56273A43" w14:textId="77777777" w:rsidR="008B248A" w:rsidRPr="008B248A" w:rsidRDefault="008B248A" w:rsidP="008B248A">
      <w:pPr>
        <w:rPr>
          <w:rFonts w:ascii="Open Sans" w:hAnsi="Open Sans" w:cs="Open Sans"/>
        </w:rPr>
      </w:pPr>
      <w:r w:rsidRPr="008B248A">
        <w:rPr>
          <w:rFonts w:ascii="Open Sans" w:hAnsi="Open Sans" w:cs="Open Sans"/>
        </w:rPr>
        <w:t xml:space="preserve">Then, districts must have ratio threshold of 3.0 for a </w:t>
      </w:r>
      <w:proofErr w:type="gramStart"/>
      <w:r w:rsidRPr="008B248A">
        <w:rPr>
          <w:rFonts w:ascii="Open Sans" w:hAnsi="Open Sans" w:cs="Open Sans"/>
        </w:rPr>
        <w:t>particular racial/ethnic</w:t>
      </w:r>
      <w:proofErr w:type="gramEnd"/>
      <w:r w:rsidRPr="008B248A">
        <w:rPr>
          <w:rFonts w:ascii="Open Sans" w:hAnsi="Open Sans" w:cs="Open Sans"/>
        </w:rPr>
        <w:t xml:space="preserve"> group.</w:t>
      </w:r>
    </w:p>
    <w:p w14:paraId="267F3E10" w14:textId="4B4FD094" w:rsidR="008B248A" w:rsidRPr="008B248A" w:rsidRDefault="008B248A" w:rsidP="008B248A">
      <w:pPr>
        <w:rPr>
          <w:rFonts w:ascii="Open Sans" w:hAnsi="Open Sans" w:cs="Open Sans"/>
          <w:b/>
          <w:bCs/>
        </w:rPr>
      </w:pPr>
      <w:r w:rsidRPr="008B248A">
        <w:rPr>
          <w:rFonts w:ascii="Open Sans" w:hAnsi="Open Sans" w:cs="Open Sans"/>
          <w:b/>
          <w:bCs/>
        </w:rPr>
        <w:t>Slide 15:</w:t>
      </w:r>
    </w:p>
    <w:p w14:paraId="784F8905" w14:textId="77777777" w:rsidR="008B248A" w:rsidRPr="008B248A" w:rsidRDefault="008B248A" w:rsidP="008B248A">
      <w:pPr>
        <w:rPr>
          <w:rFonts w:ascii="Open Sans" w:hAnsi="Open Sans" w:cs="Open Sans"/>
        </w:rPr>
      </w:pPr>
      <w:r w:rsidRPr="008B248A">
        <w:rPr>
          <w:rFonts w:ascii="Open Sans" w:hAnsi="Open Sans" w:cs="Open Sans"/>
        </w:rPr>
        <w:t xml:space="preserve">For educational placement, the criteria outlined must be met for three consecutive years. Again, if criteria </w:t>
      </w:r>
      <w:proofErr w:type="gramStart"/>
      <w:r w:rsidRPr="008B248A">
        <w:rPr>
          <w:rFonts w:ascii="Open Sans" w:hAnsi="Open Sans" w:cs="Open Sans"/>
        </w:rPr>
        <w:t>is</w:t>
      </w:r>
      <w:proofErr w:type="gramEnd"/>
      <w:r w:rsidRPr="008B248A">
        <w:rPr>
          <w:rFonts w:ascii="Open Sans" w:hAnsi="Open Sans" w:cs="Open Sans"/>
        </w:rPr>
        <w:t xml:space="preserve"> met for a school district for one year, not met the next, then met again in the third year, then the school district would </w:t>
      </w:r>
      <w:r w:rsidRPr="008B248A">
        <w:rPr>
          <w:rFonts w:ascii="Open Sans" w:hAnsi="Open Sans" w:cs="Open Sans"/>
          <w:b/>
          <w:bCs/>
        </w:rPr>
        <w:t xml:space="preserve">not </w:t>
      </w:r>
      <w:r w:rsidRPr="008B248A">
        <w:rPr>
          <w:rFonts w:ascii="Open Sans" w:hAnsi="Open Sans" w:cs="Open Sans"/>
        </w:rPr>
        <w:t>be considered to have significant disproportionality.</w:t>
      </w:r>
    </w:p>
    <w:p w14:paraId="1E48774F" w14:textId="77777777" w:rsidR="008B248A" w:rsidRPr="008B248A" w:rsidRDefault="008B248A" w:rsidP="008B248A">
      <w:pPr>
        <w:rPr>
          <w:rFonts w:ascii="Open Sans" w:hAnsi="Open Sans" w:cs="Open Sans"/>
        </w:rPr>
      </w:pPr>
      <w:r w:rsidRPr="008B248A">
        <w:rPr>
          <w:rFonts w:ascii="Open Sans" w:hAnsi="Open Sans" w:cs="Open Sans"/>
        </w:rPr>
        <w:t xml:space="preserve">Cell size minimum of 10 SWDs (ages 6-21) in a </w:t>
      </w:r>
      <w:proofErr w:type="gramStart"/>
      <w:r w:rsidRPr="008B248A">
        <w:rPr>
          <w:rFonts w:ascii="Open Sans" w:hAnsi="Open Sans" w:cs="Open Sans"/>
        </w:rPr>
        <w:t>particular racial/ethnic</w:t>
      </w:r>
      <w:proofErr w:type="gramEnd"/>
      <w:r w:rsidRPr="008B248A">
        <w:rPr>
          <w:rFonts w:ascii="Open Sans" w:hAnsi="Open Sans" w:cs="Open Sans"/>
        </w:rPr>
        <w:t xml:space="preserve"> group that qualifies for one of the following categories:</w:t>
      </w:r>
    </w:p>
    <w:p w14:paraId="5D15DA27" w14:textId="77777777" w:rsidR="008B248A" w:rsidRPr="008B248A" w:rsidRDefault="008B248A" w:rsidP="008B248A">
      <w:pPr>
        <w:numPr>
          <w:ilvl w:val="0"/>
          <w:numId w:val="7"/>
        </w:numPr>
        <w:rPr>
          <w:rFonts w:ascii="Open Sans" w:hAnsi="Open Sans" w:cs="Open Sans"/>
        </w:rPr>
      </w:pPr>
      <w:r w:rsidRPr="008B248A">
        <w:rPr>
          <w:rFonts w:ascii="Open Sans" w:hAnsi="Open Sans" w:cs="Open Sans"/>
        </w:rPr>
        <w:t>In the general education setting less than 40 percent of the day</w:t>
      </w:r>
    </w:p>
    <w:p w14:paraId="2A5EFCCF" w14:textId="77777777" w:rsidR="008B248A" w:rsidRPr="008B248A" w:rsidRDefault="008B248A" w:rsidP="008B248A">
      <w:pPr>
        <w:numPr>
          <w:ilvl w:val="0"/>
          <w:numId w:val="7"/>
        </w:numPr>
        <w:rPr>
          <w:rFonts w:ascii="Open Sans" w:hAnsi="Open Sans" w:cs="Open Sans"/>
        </w:rPr>
      </w:pPr>
      <w:r w:rsidRPr="008B248A">
        <w:rPr>
          <w:rFonts w:ascii="Open Sans" w:hAnsi="Open Sans" w:cs="Open Sans"/>
        </w:rPr>
        <w:t>In a separate school or residential facility</w:t>
      </w:r>
    </w:p>
    <w:p w14:paraId="19156798" w14:textId="77777777" w:rsidR="008B248A" w:rsidRPr="008B248A" w:rsidRDefault="008B248A" w:rsidP="008B248A">
      <w:pPr>
        <w:rPr>
          <w:rFonts w:ascii="Open Sans" w:hAnsi="Open Sans" w:cs="Open Sans"/>
        </w:rPr>
      </w:pPr>
      <w:r w:rsidRPr="008B248A">
        <w:rPr>
          <w:rFonts w:ascii="Open Sans" w:hAnsi="Open Sans" w:cs="Open Sans"/>
        </w:rPr>
        <w:t xml:space="preserve">“N” size minimum of 30 or more students (ages 6-21) in a </w:t>
      </w:r>
      <w:proofErr w:type="gramStart"/>
      <w:r w:rsidRPr="008B248A">
        <w:rPr>
          <w:rFonts w:ascii="Open Sans" w:hAnsi="Open Sans" w:cs="Open Sans"/>
        </w:rPr>
        <w:t>particular racial/ethnic</w:t>
      </w:r>
      <w:proofErr w:type="gramEnd"/>
      <w:r w:rsidRPr="008B248A">
        <w:rPr>
          <w:rFonts w:ascii="Open Sans" w:hAnsi="Open Sans" w:cs="Open Sans"/>
        </w:rPr>
        <w:t xml:space="preserve"> group.</w:t>
      </w:r>
    </w:p>
    <w:p w14:paraId="6533F640" w14:textId="77777777" w:rsidR="008B248A" w:rsidRPr="008B248A" w:rsidRDefault="008B248A" w:rsidP="008B248A">
      <w:pPr>
        <w:rPr>
          <w:rFonts w:ascii="Open Sans" w:hAnsi="Open Sans" w:cs="Open Sans"/>
        </w:rPr>
      </w:pPr>
      <w:r w:rsidRPr="008B248A">
        <w:rPr>
          <w:rFonts w:ascii="Open Sans" w:hAnsi="Open Sans" w:cs="Open Sans"/>
        </w:rPr>
        <w:t xml:space="preserve">Risk ratio threshold of 3.0 for a </w:t>
      </w:r>
      <w:proofErr w:type="gramStart"/>
      <w:r w:rsidRPr="008B248A">
        <w:rPr>
          <w:rFonts w:ascii="Open Sans" w:hAnsi="Open Sans" w:cs="Open Sans"/>
        </w:rPr>
        <w:t>particular racial/ethnic</w:t>
      </w:r>
      <w:proofErr w:type="gramEnd"/>
      <w:r w:rsidRPr="008B248A">
        <w:rPr>
          <w:rFonts w:ascii="Open Sans" w:hAnsi="Open Sans" w:cs="Open Sans"/>
        </w:rPr>
        <w:t xml:space="preserve"> group.</w:t>
      </w:r>
    </w:p>
    <w:p w14:paraId="5001A17F" w14:textId="0B7C24F8" w:rsidR="008B248A" w:rsidRPr="008B248A" w:rsidRDefault="008B248A" w:rsidP="008B248A">
      <w:pPr>
        <w:rPr>
          <w:rFonts w:ascii="Open Sans" w:hAnsi="Open Sans" w:cs="Open Sans"/>
          <w:b/>
          <w:bCs/>
        </w:rPr>
      </w:pPr>
      <w:r w:rsidRPr="008B248A">
        <w:rPr>
          <w:rFonts w:ascii="Open Sans" w:hAnsi="Open Sans" w:cs="Open Sans"/>
          <w:b/>
          <w:bCs/>
        </w:rPr>
        <w:t>Slide 16:</w:t>
      </w:r>
    </w:p>
    <w:p w14:paraId="590BE07F" w14:textId="77777777" w:rsidR="008B248A" w:rsidRPr="008B248A" w:rsidRDefault="008B248A" w:rsidP="008B248A">
      <w:pPr>
        <w:rPr>
          <w:rFonts w:ascii="Open Sans" w:hAnsi="Open Sans" w:cs="Open Sans"/>
        </w:rPr>
      </w:pPr>
      <w:r w:rsidRPr="008B248A">
        <w:rPr>
          <w:rFonts w:ascii="Open Sans" w:hAnsi="Open Sans" w:cs="Open Sans"/>
        </w:rPr>
        <w:t>For discipline, the criteria outlined must be met for three consecutive years. Discipline is unique in that it has many different categories that are broken out by type of discipline, the length of the disciplinary actions, and then the total number of incidents.</w:t>
      </w:r>
    </w:p>
    <w:p w14:paraId="37B03CA8" w14:textId="77777777" w:rsidR="008B248A" w:rsidRPr="008B248A" w:rsidRDefault="008B248A" w:rsidP="008B248A">
      <w:pPr>
        <w:rPr>
          <w:rFonts w:ascii="Open Sans" w:hAnsi="Open Sans" w:cs="Open Sans"/>
        </w:rPr>
      </w:pPr>
      <w:r w:rsidRPr="008B248A">
        <w:rPr>
          <w:rFonts w:ascii="Open Sans" w:hAnsi="Open Sans" w:cs="Open Sans"/>
        </w:rPr>
        <w:t xml:space="preserve">Cell size minimum of 10 SWDs (ages 3-21) in a </w:t>
      </w:r>
      <w:proofErr w:type="gramStart"/>
      <w:r w:rsidRPr="008B248A">
        <w:rPr>
          <w:rFonts w:ascii="Open Sans" w:hAnsi="Open Sans" w:cs="Open Sans"/>
        </w:rPr>
        <w:t>particular racial/ethnic</w:t>
      </w:r>
      <w:proofErr w:type="gramEnd"/>
      <w:r w:rsidRPr="008B248A">
        <w:rPr>
          <w:rFonts w:ascii="Open Sans" w:hAnsi="Open Sans" w:cs="Open Sans"/>
        </w:rPr>
        <w:t xml:space="preserve"> group that qualifies for one of the following categories:</w:t>
      </w:r>
    </w:p>
    <w:p w14:paraId="7F13CEAC" w14:textId="77777777" w:rsidR="008B248A" w:rsidRPr="008B248A" w:rsidRDefault="008B248A" w:rsidP="008B248A">
      <w:pPr>
        <w:numPr>
          <w:ilvl w:val="0"/>
          <w:numId w:val="8"/>
        </w:numPr>
        <w:rPr>
          <w:rFonts w:ascii="Open Sans" w:hAnsi="Open Sans" w:cs="Open Sans"/>
        </w:rPr>
      </w:pPr>
      <w:r w:rsidRPr="008B248A">
        <w:rPr>
          <w:rFonts w:ascii="Open Sans" w:hAnsi="Open Sans" w:cs="Open Sans"/>
        </w:rPr>
        <w:t>SWDs receiving in-school suspensions for 10 or fewer days</w:t>
      </w:r>
    </w:p>
    <w:p w14:paraId="35EC8DED" w14:textId="77777777" w:rsidR="008B248A" w:rsidRPr="008B248A" w:rsidRDefault="008B248A" w:rsidP="008B248A">
      <w:pPr>
        <w:numPr>
          <w:ilvl w:val="0"/>
          <w:numId w:val="8"/>
        </w:numPr>
        <w:rPr>
          <w:rFonts w:ascii="Open Sans" w:hAnsi="Open Sans" w:cs="Open Sans"/>
        </w:rPr>
      </w:pPr>
      <w:r w:rsidRPr="008B248A">
        <w:rPr>
          <w:rFonts w:ascii="Open Sans" w:hAnsi="Open Sans" w:cs="Open Sans"/>
        </w:rPr>
        <w:t>SWDs receiving in-school suspensions for more than 10 days</w:t>
      </w:r>
    </w:p>
    <w:p w14:paraId="4F0D973C" w14:textId="77777777" w:rsidR="008B248A" w:rsidRPr="008B248A" w:rsidRDefault="008B248A" w:rsidP="008B248A">
      <w:pPr>
        <w:numPr>
          <w:ilvl w:val="0"/>
          <w:numId w:val="8"/>
        </w:numPr>
        <w:rPr>
          <w:rFonts w:ascii="Open Sans" w:hAnsi="Open Sans" w:cs="Open Sans"/>
        </w:rPr>
      </w:pPr>
      <w:r w:rsidRPr="008B248A">
        <w:rPr>
          <w:rFonts w:ascii="Open Sans" w:hAnsi="Open Sans" w:cs="Open Sans"/>
        </w:rPr>
        <w:t>SWDs receiving out-of-school suspensions/expulsions for 10 or fewer days</w:t>
      </w:r>
    </w:p>
    <w:p w14:paraId="576FC657" w14:textId="77777777" w:rsidR="008B248A" w:rsidRPr="008B248A" w:rsidRDefault="008B248A" w:rsidP="008B248A">
      <w:pPr>
        <w:numPr>
          <w:ilvl w:val="0"/>
          <w:numId w:val="8"/>
        </w:numPr>
        <w:rPr>
          <w:rFonts w:ascii="Open Sans" w:hAnsi="Open Sans" w:cs="Open Sans"/>
        </w:rPr>
      </w:pPr>
      <w:r w:rsidRPr="008B248A">
        <w:rPr>
          <w:rFonts w:ascii="Open Sans" w:hAnsi="Open Sans" w:cs="Open Sans"/>
        </w:rPr>
        <w:lastRenderedPageBreak/>
        <w:t>SWDs receiving out-of-school suspensions/expulsions for more than 10 days</w:t>
      </w:r>
    </w:p>
    <w:p w14:paraId="7618E6DF" w14:textId="77777777" w:rsidR="008B248A" w:rsidRPr="008B248A" w:rsidRDefault="008B248A" w:rsidP="008B248A">
      <w:pPr>
        <w:numPr>
          <w:ilvl w:val="0"/>
          <w:numId w:val="8"/>
        </w:numPr>
        <w:rPr>
          <w:rFonts w:ascii="Open Sans" w:hAnsi="Open Sans" w:cs="Open Sans"/>
        </w:rPr>
      </w:pPr>
      <w:r w:rsidRPr="008B248A">
        <w:rPr>
          <w:rFonts w:ascii="Open Sans" w:hAnsi="Open Sans" w:cs="Open Sans"/>
        </w:rPr>
        <w:t>Total number of discipline incidents, including in-school and out-of-school suspensions, removals by school personnel to an interim alternative education setting, and removals by hearing officer</w:t>
      </w:r>
    </w:p>
    <w:p w14:paraId="345DEF1A" w14:textId="77777777" w:rsidR="008B248A" w:rsidRPr="008B248A" w:rsidRDefault="008B248A" w:rsidP="008B248A">
      <w:pPr>
        <w:rPr>
          <w:rFonts w:ascii="Open Sans" w:hAnsi="Open Sans" w:cs="Open Sans"/>
        </w:rPr>
      </w:pPr>
      <w:r w:rsidRPr="008B248A">
        <w:rPr>
          <w:rFonts w:ascii="Open Sans" w:hAnsi="Open Sans" w:cs="Open Sans"/>
        </w:rPr>
        <w:t xml:space="preserve">For the last category listed, this output for significant disproportionality is slightly different than all the other categories. All the other categories provide risk ratios which show the risk of a </w:t>
      </w:r>
      <w:proofErr w:type="gramStart"/>
      <w:r w:rsidRPr="008B248A">
        <w:rPr>
          <w:rFonts w:ascii="Open Sans" w:hAnsi="Open Sans" w:cs="Open Sans"/>
        </w:rPr>
        <w:t>particular racial/ethnic</w:t>
      </w:r>
      <w:proofErr w:type="gramEnd"/>
      <w:r w:rsidRPr="008B248A">
        <w:rPr>
          <w:rFonts w:ascii="Open Sans" w:hAnsi="Open Sans" w:cs="Open Sans"/>
        </w:rPr>
        <w:t xml:space="preserve"> group experiencing an outcome as compared to all the other racial/ethnic groups. For the total number of discipline incidents, rather than being risk, the output is the average number of discipline incidents per student in a racial/ethnic group. </w:t>
      </w:r>
      <w:proofErr w:type="gramStart"/>
      <w:r w:rsidRPr="008B248A">
        <w:rPr>
          <w:rFonts w:ascii="Open Sans" w:hAnsi="Open Sans" w:cs="Open Sans"/>
        </w:rPr>
        <w:t>So</w:t>
      </w:r>
      <w:proofErr w:type="gramEnd"/>
      <w:r w:rsidRPr="008B248A">
        <w:rPr>
          <w:rFonts w:ascii="Open Sans" w:hAnsi="Open Sans" w:cs="Open Sans"/>
        </w:rPr>
        <w:t xml:space="preserve"> if there are 150 discipline incidents in a school district for African American SWDs, and there are 100 total African American SWDs in the district, then we would calculate the average number of incidents per students by dividing 150 by 100. That means an African American student in this district averages 1.5 discipline incidents per year. </w:t>
      </w:r>
    </w:p>
    <w:p w14:paraId="12AA761D" w14:textId="77777777" w:rsidR="008B248A" w:rsidRPr="008B248A" w:rsidRDefault="008B248A" w:rsidP="008B248A">
      <w:pPr>
        <w:rPr>
          <w:rFonts w:ascii="Open Sans" w:hAnsi="Open Sans" w:cs="Open Sans"/>
        </w:rPr>
      </w:pPr>
      <w:r w:rsidRPr="008B248A">
        <w:rPr>
          <w:rFonts w:ascii="Open Sans" w:hAnsi="Open Sans" w:cs="Open Sans"/>
        </w:rPr>
        <w:t xml:space="preserve">If we want to know if this average is higher than the average incidents for SWDs disciplined in all the other racial/ethnic groups, we would calculate the average for all other groups. </w:t>
      </w:r>
      <w:proofErr w:type="gramStart"/>
      <w:r w:rsidRPr="008B248A">
        <w:rPr>
          <w:rFonts w:ascii="Open Sans" w:hAnsi="Open Sans" w:cs="Open Sans"/>
        </w:rPr>
        <w:t>So</w:t>
      </w:r>
      <w:proofErr w:type="gramEnd"/>
      <w:r w:rsidRPr="008B248A">
        <w:rPr>
          <w:rFonts w:ascii="Open Sans" w:hAnsi="Open Sans" w:cs="Open Sans"/>
        </w:rPr>
        <w:t xml:space="preserve"> let’s say that the students in the six other racial/ethnic groups have 300 discipline incidents, and there are 400 total SWDs in these other racial/ethnic groups. I would divide the number of discipline incidents for the other racial/ethnic groups – 300 – by the total number of SWDs in the other racial/ethnic groups – 400 – which would give me an average of 0.75 discipline incidents per year for each student in the other racial/ethnic groups.</w:t>
      </w:r>
    </w:p>
    <w:p w14:paraId="3081FCD2" w14:textId="77777777" w:rsidR="008B248A" w:rsidRPr="008B248A" w:rsidRDefault="008B248A" w:rsidP="008B248A">
      <w:pPr>
        <w:rPr>
          <w:rFonts w:ascii="Open Sans" w:hAnsi="Open Sans" w:cs="Open Sans"/>
        </w:rPr>
      </w:pPr>
      <w:r w:rsidRPr="008B248A">
        <w:rPr>
          <w:rFonts w:ascii="Open Sans" w:hAnsi="Open Sans" w:cs="Open Sans"/>
        </w:rPr>
        <w:t xml:space="preserve">I want to know what the ratio between African American students and everyone else is to see if African American students are at a higher risk of being disciplined. </w:t>
      </w:r>
      <w:proofErr w:type="gramStart"/>
      <w:r w:rsidRPr="008B248A">
        <w:rPr>
          <w:rFonts w:ascii="Open Sans" w:hAnsi="Open Sans" w:cs="Open Sans"/>
        </w:rPr>
        <w:t>So</w:t>
      </w:r>
      <w:proofErr w:type="gramEnd"/>
      <w:r w:rsidRPr="008B248A">
        <w:rPr>
          <w:rFonts w:ascii="Open Sans" w:hAnsi="Open Sans" w:cs="Open Sans"/>
        </w:rPr>
        <w:t xml:space="preserve"> I would divide the average number of discipline incidents for African American SWDs – 1.5 – by the average number of discipline incidents for SWDs in the six other racial/ethnic groups – 0.75. </w:t>
      </w:r>
      <w:proofErr w:type="gramStart"/>
      <w:r w:rsidRPr="008B248A">
        <w:rPr>
          <w:rFonts w:ascii="Open Sans" w:hAnsi="Open Sans" w:cs="Open Sans"/>
        </w:rPr>
        <w:t>So</w:t>
      </w:r>
      <w:proofErr w:type="gramEnd"/>
      <w:r w:rsidRPr="008B248A">
        <w:rPr>
          <w:rFonts w:ascii="Open Sans" w:hAnsi="Open Sans" w:cs="Open Sans"/>
        </w:rPr>
        <w:t xml:space="preserve"> 1.5 divided by 0.75 gives me an output of 2.0. This means that the average number of discipline actions for African American SWDs was two times the average number of discipline actions for everyone else. </w:t>
      </w:r>
    </w:p>
    <w:p w14:paraId="05CCC64E" w14:textId="77777777" w:rsidR="008B248A" w:rsidRPr="008B248A" w:rsidRDefault="008B248A" w:rsidP="008B248A">
      <w:pPr>
        <w:rPr>
          <w:rFonts w:ascii="Open Sans" w:hAnsi="Open Sans" w:cs="Open Sans"/>
        </w:rPr>
      </w:pPr>
      <w:r w:rsidRPr="008B248A">
        <w:rPr>
          <w:rFonts w:ascii="Open Sans" w:hAnsi="Open Sans" w:cs="Open Sans"/>
        </w:rPr>
        <w:t xml:space="preserve">One more thing to bear in mind regarding the discipline category of total discipline incidents is that if one incident has multiple consequences (an in-school suspension and then an expulsion, or an out-of-school suspension and then a remand), the incident will only be included once, unless the district enters the incidents as two separate, distinct incidents. </w:t>
      </w:r>
    </w:p>
    <w:p w14:paraId="1BE052CA" w14:textId="77777777" w:rsidR="008B248A" w:rsidRPr="008B248A" w:rsidRDefault="008B248A" w:rsidP="008B248A">
      <w:pPr>
        <w:rPr>
          <w:rFonts w:ascii="Open Sans" w:hAnsi="Open Sans" w:cs="Open Sans"/>
        </w:rPr>
      </w:pPr>
      <w:r w:rsidRPr="008B248A">
        <w:rPr>
          <w:rFonts w:ascii="Open Sans" w:hAnsi="Open Sans" w:cs="Open Sans"/>
        </w:rPr>
        <w:t xml:space="preserve">“N” size minimum of 30 or more students (ages 3-21) in a </w:t>
      </w:r>
      <w:proofErr w:type="gramStart"/>
      <w:r w:rsidRPr="008B248A">
        <w:rPr>
          <w:rFonts w:ascii="Open Sans" w:hAnsi="Open Sans" w:cs="Open Sans"/>
        </w:rPr>
        <w:t>particular racial/ethnic</w:t>
      </w:r>
      <w:proofErr w:type="gramEnd"/>
      <w:r w:rsidRPr="008B248A">
        <w:rPr>
          <w:rFonts w:ascii="Open Sans" w:hAnsi="Open Sans" w:cs="Open Sans"/>
        </w:rPr>
        <w:t xml:space="preserve"> group.</w:t>
      </w:r>
    </w:p>
    <w:p w14:paraId="07D4C88F" w14:textId="77777777" w:rsidR="008B248A" w:rsidRPr="008B248A" w:rsidRDefault="008B248A" w:rsidP="008B248A">
      <w:pPr>
        <w:rPr>
          <w:rFonts w:ascii="Open Sans" w:hAnsi="Open Sans" w:cs="Open Sans"/>
        </w:rPr>
      </w:pPr>
      <w:r w:rsidRPr="008B248A">
        <w:rPr>
          <w:rFonts w:ascii="Open Sans" w:hAnsi="Open Sans" w:cs="Open Sans"/>
        </w:rPr>
        <w:t xml:space="preserve">Risk ratio threshold of 2.0 for a </w:t>
      </w:r>
      <w:proofErr w:type="gramStart"/>
      <w:r w:rsidRPr="008B248A">
        <w:rPr>
          <w:rFonts w:ascii="Open Sans" w:hAnsi="Open Sans" w:cs="Open Sans"/>
        </w:rPr>
        <w:t>particular racial/ethnic</w:t>
      </w:r>
      <w:proofErr w:type="gramEnd"/>
      <w:r w:rsidRPr="008B248A">
        <w:rPr>
          <w:rFonts w:ascii="Open Sans" w:hAnsi="Open Sans" w:cs="Open Sans"/>
        </w:rPr>
        <w:t xml:space="preserve"> group. A lower risk ratio was set for discipline given that this was the most pervasive significant disproportionality issue in Tennessee. Across the board, there was clear disproportionality </w:t>
      </w:r>
      <w:proofErr w:type="gramStart"/>
      <w:r w:rsidRPr="008B248A">
        <w:rPr>
          <w:rFonts w:ascii="Open Sans" w:hAnsi="Open Sans" w:cs="Open Sans"/>
        </w:rPr>
        <w:t>with regard to</w:t>
      </w:r>
      <w:proofErr w:type="gramEnd"/>
      <w:r w:rsidRPr="008B248A">
        <w:rPr>
          <w:rFonts w:ascii="Open Sans" w:hAnsi="Open Sans" w:cs="Open Sans"/>
        </w:rPr>
        <w:t xml:space="preserve"> discipline of minority students, and this was a systemic problem that requires immediate attention.</w:t>
      </w:r>
    </w:p>
    <w:p w14:paraId="34A2F1DF" w14:textId="0D9648AE" w:rsidR="008B248A" w:rsidRPr="008B248A" w:rsidRDefault="008B248A" w:rsidP="008B248A">
      <w:pPr>
        <w:rPr>
          <w:rFonts w:ascii="Open Sans" w:hAnsi="Open Sans" w:cs="Open Sans"/>
          <w:b/>
          <w:bCs/>
        </w:rPr>
      </w:pPr>
      <w:r w:rsidRPr="008B248A">
        <w:rPr>
          <w:rFonts w:ascii="Open Sans" w:hAnsi="Open Sans" w:cs="Open Sans"/>
          <w:b/>
          <w:bCs/>
        </w:rPr>
        <w:t>Slide 17:</w:t>
      </w:r>
    </w:p>
    <w:p w14:paraId="776A82B1" w14:textId="77777777" w:rsidR="008B248A" w:rsidRPr="008B248A" w:rsidRDefault="008B248A" w:rsidP="008B248A">
      <w:pPr>
        <w:rPr>
          <w:rFonts w:ascii="Open Sans" w:hAnsi="Open Sans" w:cs="Open Sans"/>
        </w:rPr>
      </w:pPr>
      <w:r w:rsidRPr="008B248A">
        <w:rPr>
          <w:rFonts w:ascii="Open Sans" w:hAnsi="Open Sans" w:cs="Open Sans"/>
        </w:rPr>
        <w:t xml:space="preserve">Reasonable progress is something that states have the option to include. Many states elected not to use this option, however, Tennessee wanted to reward district improvements over time. Reasonable progress means that if a district meets criteria in one of the significant disproportionality areas, but they continuously decrease the risk ratios over time by a set amount, that the district will not be identified with significant disproportionality even if they otherwise meet criteria. </w:t>
      </w:r>
    </w:p>
    <w:p w14:paraId="4C24BF61" w14:textId="77777777" w:rsidR="008B248A" w:rsidRPr="008B248A" w:rsidRDefault="008B248A" w:rsidP="008B248A">
      <w:pPr>
        <w:rPr>
          <w:rFonts w:ascii="Open Sans" w:hAnsi="Open Sans" w:cs="Open Sans"/>
        </w:rPr>
      </w:pPr>
      <w:r w:rsidRPr="008B248A">
        <w:rPr>
          <w:rFonts w:ascii="Open Sans" w:hAnsi="Open Sans" w:cs="Open Sans"/>
        </w:rPr>
        <w:lastRenderedPageBreak/>
        <w:t xml:space="preserve">The department determined that reasonable progress would be met if a district had a minimum decrease of 0.25 in the risk ratios for a </w:t>
      </w:r>
      <w:proofErr w:type="gramStart"/>
      <w:r w:rsidRPr="008B248A">
        <w:rPr>
          <w:rFonts w:ascii="Open Sans" w:hAnsi="Open Sans" w:cs="Open Sans"/>
        </w:rPr>
        <w:t>particular area</w:t>
      </w:r>
      <w:proofErr w:type="gramEnd"/>
      <w:r w:rsidRPr="008B248A">
        <w:rPr>
          <w:rFonts w:ascii="Open Sans" w:hAnsi="Open Sans" w:cs="Open Sans"/>
        </w:rPr>
        <w:t xml:space="preserve"> of significant disproportionality over three years. This means there would need to be at least a decrease of 0.25 from year one to year two, and then another minimum decrease of 0.25 from year two to year three. Also, to meet reasonable progress, in the third, or most current year, being evaluated, the risk ratio must be less than 4.0.</w:t>
      </w:r>
    </w:p>
    <w:p w14:paraId="38CEC87A" w14:textId="77777777" w:rsidR="008B248A" w:rsidRPr="008B248A" w:rsidRDefault="008B248A" w:rsidP="008B248A">
      <w:pPr>
        <w:rPr>
          <w:rFonts w:ascii="Open Sans" w:hAnsi="Open Sans" w:cs="Open Sans"/>
        </w:rPr>
      </w:pPr>
      <w:proofErr w:type="gramStart"/>
      <w:r w:rsidRPr="008B248A">
        <w:rPr>
          <w:rFonts w:ascii="Open Sans" w:hAnsi="Open Sans" w:cs="Open Sans"/>
        </w:rPr>
        <w:t>So</w:t>
      </w:r>
      <w:proofErr w:type="gramEnd"/>
      <w:r w:rsidRPr="008B248A">
        <w:rPr>
          <w:rFonts w:ascii="Open Sans" w:hAnsi="Open Sans" w:cs="Open Sans"/>
        </w:rPr>
        <w:t xml:space="preserve"> for example, we are looking at identification of Asian students with autism in District X. In year one, District X had a risk ratio of 5.0 for Asian students identified with autism. In year two, District X had a risk ratio of 4.7 for Asian students identified with autism. In year three, District X had a risk ratio of 3.5 for Asian students identified with autism. From year one to year two, the risk ratio decreased by 0.3 and from year two to year three the risk ratio decreased by 1.2. In year three, the most current year, the risk ratio was less than 4.0. In this example, District X made reasonable progress, so even though they originally met criteria for significant disproportionality, they will not be identified as significantly disproportionate because they made reasonable progress.</w:t>
      </w:r>
    </w:p>
    <w:p w14:paraId="6FEDBACC" w14:textId="77777777" w:rsidR="008B248A" w:rsidRPr="008B248A" w:rsidRDefault="008B248A" w:rsidP="008B248A">
      <w:pPr>
        <w:rPr>
          <w:rFonts w:ascii="Open Sans" w:hAnsi="Open Sans" w:cs="Open Sans"/>
        </w:rPr>
      </w:pPr>
      <w:r w:rsidRPr="008B248A">
        <w:rPr>
          <w:rFonts w:ascii="Open Sans" w:hAnsi="Open Sans" w:cs="Open Sans"/>
        </w:rPr>
        <w:t>Let’s look at another example. In year one, District X had a risk ratio of 5.0 for Asian students identified with autism. In year two, District X had a risk ratio of 4.9 for Asian students identified with autism. In year three, District X had a risk ratio of 3.25 for Asian students identified with autism. From year one to year two, the risk ratio decreased by 0.1 and from year two to year three the risk ratio decreased by 1.65. In year three, the most current year, the risk ratio was less than 4.0. While there was a decrease every year and the final year had a risk ratio less than 4.0, the district would not be determined to have made reasonable progress, as the decrease from year one to year two was only 0.1, which does not meet the target of 0.25.</w:t>
      </w:r>
    </w:p>
    <w:p w14:paraId="596EE6D1" w14:textId="3A8B96BD" w:rsidR="008B248A" w:rsidRPr="008B248A" w:rsidRDefault="008B248A" w:rsidP="008B248A">
      <w:pPr>
        <w:rPr>
          <w:rFonts w:ascii="Open Sans" w:hAnsi="Open Sans" w:cs="Open Sans"/>
          <w:b/>
          <w:bCs/>
        </w:rPr>
      </w:pPr>
      <w:r w:rsidRPr="008B248A">
        <w:rPr>
          <w:rFonts w:ascii="Open Sans" w:hAnsi="Open Sans" w:cs="Open Sans"/>
          <w:b/>
          <w:bCs/>
        </w:rPr>
        <w:t>Slide 18:</w:t>
      </w:r>
    </w:p>
    <w:p w14:paraId="780ADC95" w14:textId="77777777" w:rsidR="008B248A" w:rsidRPr="008B248A" w:rsidRDefault="008B248A" w:rsidP="008B248A">
      <w:pPr>
        <w:rPr>
          <w:rFonts w:ascii="Open Sans" w:hAnsi="Open Sans" w:cs="Open Sans"/>
        </w:rPr>
      </w:pPr>
      <w:r w:rsidRPr="008B248A">
        <w:rPr>
          <w:rFonts w:ascii="Open Sans" w:hAnsi="Open Sans" w:cs="Open Sans"/>
        </w:rPr>
        <w:t xml:space="preserve">The data for significant disproportionality come from several locations. For the child count/environment data used for the core areas of identification and educational placement, the data used are based on the final Table 1 and 3 report completed in EasyIEP. The numbers in this report are based on the data in the system on December 1, and this report is submitted to the department in the December 1 reporting packet. </w:t>
      </w:r>
    </w:p>
    <w:p w14:paraId="53BD37DD" w14:textId="77777777" w:rsidR="008B248A" w:rsidRPr="008B248A" w:rsidRDefault="008B248A" w:rsidP="008B248A">
      <w:pPr>
        <w:rPr>
          <w:rFonts w:ascii="Open Sans" w:hAnsi="Open Sans" w:cs="Open Sans"/>
        </w:rPr>
      </w:pPr>
      <w:r w:rsidRPr="008B248A">
        <w:rPr>
          <w:rFonts w:ascii="Open Sans" w:hAnsi="Open Sans" w:cs="Open Sans"/>
        </w:rPr>
        <w:t xml:space="preserve">Comparison data for identification, which look at the student membership of the </w:t>
      </w:r>
      <w:proofErr w:type="gramStart"/>
      <w:r w:rsidRPr="008B248A">
        <w:rPr>
          <w:rFonts w:ascii="Open Sans" w:hAnsi="Open Sans" w:cs="Open Sans"/>
        </w:rPr>
        <w:t>district as a whole, come</w:t>
      </w:r>
      <w:proofErr w:type="gramEnd"/>
      <w:r w:rsidRPr="008B248A">
        <w:rPr>
          <w:rFonts w:ascii="Open Sans" w:hAnsi="Open Sans" w:cs="Open Sans"/>
        </w:rPr>
        <w:t xml:space="preserve"> from the federal student membership data that is pulled annually by the department on October 1. We recognize that the data are pulled at two separate points in time and the same students may not appear in both reports, however, these are the data the federal government requires us as states to use since the data are uniform and what we federally report. </w:t>
      </w:r>
    </w:p>
    <w:p w14:paraId="1D14FD51" w14:textId="77777777" w:rsidR="008B248A" w:rsidRPr="008B248A" w:rsidRDefault="008B248A" w:rsidP="008B248A">
      <w:pPr>
        <w:rPr>
          <w:rFonts w:ascii="Open Sans" w:hAnsi="Open Sans" w:cs="Open Sans"/>
        </w:rPr>
      </w:pPr>
      <w:r w:rsidRPr="008B248A">
        <w:rPr>
          <w:rFonts w:ascii="Open Sans" w:hAnsi="Open Sans" w:cs="Open Sans"/>
        </w:rPr>
        <w:t xml:space="preserve">Discipline data come from EIS. EIS reflects the discipline information entered by districts in their student information systems. Discipline data are imported nightly to EIS, and EIS or student information system supervisors for your district should be able to provide you this information. There is a report on the “data reports” section of EIS, under the research queries tab, that captures discipline data and is titled “student disciplinary actions.” There are individual crosswalks for the discipline reasons selected in a district’s student information system and how they appear in EIS (as in-school suspensions, out-of-school suspensions, expulsions, remands), and these crosswalks vary by district and student information system. For more information about how the discipline incidents are </w:t>
      </w:r>
      <w:proofErr w:type="spellStart"/>
      <w:r w:rsidRPr="008B248A">
        <w:rPr>
          <w:rFonts w:ascii="Open Sans" w:hAnsi="Open Sans" w:cs="Open Sans"/>
        </w:rPr>
        <w:t>crosswalked</w:t>
      </w:r>
      <w:proofErr w:type="spellEnd"/>
      <w:r w:rsidRPr="008B248A">
        <w:rPr>
          <w:rFonts w:ascii="Open Sans" w:hAnsi="Open Sans" w:cs="Open Sans"/>
        </w:rPr>
        <w:t xml:space="preserve"> with EIS, you should contact your district’s EIS or student information system supervisor.</w:t>
      </w:r>
    </w:p>
    <w:p w14:paraId="1822A867" w14:textId="23F20640" w:rsidR="008B248A" w:rsidRPr="008B248A" w:rsidRDefault="008B248A" w:rsidP="008B248A">
      <w:pPr>
        <w:rPr>
          <w:rFonts w:ascii="Open Sans" w:hAnsi="Open Sans" w:cs="Open Sans"/>
          <w:b/>
          <w:bCs/>
        </w:rPr>
      </w:pPr>
      <w:r w:rsidRPr="008B248A">
        <w:rPr>
          <w:rFonts w:ascii="Open Sans" w:hAnsi="Open Sans" w:cs="Open Sans"/>
          <w:b/>
          <w:bCs/>
        </w:rPr>
        <w:lastRenderedPageBreak/>
        <w:t>Slide 19:</w:t>
      </w:r>
    </w:p>
    <w:p w14:paraId="2CBE16B3" w14:textId="77777777" w:rsidR="008B248A" w:rsidRPr="008B248A" w:rsidRDefault="008B248A" w:rsidP="008B248A">
      <w:pPr>
        <w:rPr>
          <w:rFonts w:ascii="Open Sans" w:hAnsi="Open Sans" w:cs="Open Sans"/>
        </w:rPr>
      </w:pPr>
      <w:r w:rsidRPr="008B248A">
        <w:rPr>
          <w:rFonts w:ascii="Open Sans" w:hAnsi="Open Sans" w:cs="Open Sans"/>
          <w:b/>
          <w:bCs/>
        </w:rPr>
        <w:t>Expulsion</w:t>
      </w:r>
    </w:p>
    <w:p w14:paraId="1379AA1F" w14:textId="77777777" w:rsidR="008B248A" w:rsidRPr="008B248A" w:rsidRDefault="008B248A" w:rsidP="008B248A">
      <w:pPr>
        <w:rPr>
          <w:rFonts w:ascii="Open Sans" w:hAnsi="Open Sans" w:cs="Open Sans"/>
        </w:rPr>
      </w:pPr>
      <w:r w:rsidRPr="008B248A">
        <w:rPr>
          <w:rFonts w:ascii="Open Sans" w:hAnsi="Open Sans" w:cs="Open Sans"/>
        </w:rPr>
        <w:t>An expulsion is defined by the state, per the EIS and attendance manuals, as the removal a student from attendance for more than 10 consecutive days or more than 15 days in a month of school attendance. Multiple suspensions exceeding these timeframes that occur consecutively are considered expulsions as well.</w:t>
      </w:r>
    </w:p>
    <w:p w14:paraId="3D80199D" w14:textId="77777777" w:rsidR="008B248A" w:rsidRPr="008B248A" w:rsidRDefault="008B248A" w:rsidP="008B248A">
      <w:pPr>
        <w:rPr>
          <w:rFonts w:ascii="Open Sans" w:hAnsi="Open Sans" w:cs="Open Sans"/>
        </w:rPr>
      </w:pPr>
      <w:r w:rsidRPr="008B248A">
        <w:rPr>
          <w:rFonts w:ascii="Open Sans" w:hAnsi="Open Sans" w:cs="Open Sans"/>
          <w:b/>
          <w:bCs/>
        </w:rPr>
        <w:t>Out-of-School Suspension</w:t>
      </w:r>
    </w:p>
    <w:p w14:paraId="76637845" w14:textId="77777777" w:rsidR="008B248A" w:rsidRPr="008B248A" w:rsidRDefault="008B248A" w:rsidP="008B248A">
      <w:pPr>
        <w:rPr>
          <w:rFonts w:ascii="Open Sans" w:hAnsi="Open Sans" w:cs="Open Sans"/>
        </w:rPr>
      </w:pPr>
      <w:r w:rsidRPr="008B248A">
        <w:rPr>
          <w:rFonts w:ascii="Open Sans" w:hAnsi="Open Sans" w:cs="Open Sans"/>
        </w:rPr>
        <w:t>For out-of-school suspensions, per the EIS and attendance manuals, students are dismissed from attendance at school for any reasons for no more than 10 consecutive days. Per definitions mentioned for expulsion, an out-of-school removal for more than 10 consecutive days is considered an expulsion. Multiple suspensions taking place at different times that in aggregate exceed 10 days do not meet criteria for missing 10 consecutive days and would not meet the definition of an expulsion. However, multiple suspensions back-to-back will be recognized as consecutive and should be considered expulsions.</w:t>
      </w:r>
    </w:p>
    <w:p w14:paraId="16E698B9" w14:textId="19FEC8E9" w:rsidR="008B248A" w:rsidRPr="008B248A" w:rsidRDefault="008B248A" w:rsidP="008B248A">
      <w:pPr>
        <w:rPr>
          <w:rFonts w:ascii="Open Sans" w:hAnsi="Open Sans" w:cs="Open Sans"/>
          <w:b/>
          <w:bCs/>
        </w:rPr>
      </w:pPr>
      <w:bookmarkStart w:id="0" w:name="_GoBack"/>
      <w:r w:rsidRPr="008B248A">
        <w:rPr>
          <w:rFonts w:ascii="Open Sans" w:hAnsi="Open Sans" w:cs="Open Sans"/>
          <w:b/>
          <w:bCs/>
        </w:rPr>
        <w:t xml:space="preserve">Slide 20: </w:t>
      </w:r>
    </w:p>
    <w:bookmarkEnd w:id="0"/>
    <w:p w14:paraId="358BA5FD" w14:textId="77777777" w:rsidR="008B248A" w:rsidRPr="008B248A" w:rsidRDefault="008B248A" w:rsidP="008B248A">
      <w:pPr>
        <w:rPr>
          <w:rFonts w:ascii="Open Sans" w:hAnsi="Open Sans" w:cs="Open Sans"/>
        </w:rPr>
      </w:pPr>
      <w:r w:rsidRPr="008B248A">
        <w:rPr>
          <w:rFonts w:ascii="Open Sans" w:hAnsi="Open Sans" w:cs="Open Sans"/>
          <w:b/>
          <w:bCs/>
        </w:rPr>
        <w:t>In-School Suspension</w:t>
      </w:r>
    </w:p>
    <w:p w14:paraId="496BA277" w14:textId="77777777" w:rsidR="008B248A" w:rsidRPr="008B248A" w:rsidRDefault="008B248A" w:rsidP="008B248A">
      <w:pPr>
        <w:rPr>
          <w:rFonts w:ascii="Open Sans" w:hAnsi="Open Sans" w:cs="Open Sans"/>
        </w:rPr>
      </w:pPr>
      <w:r w:rsidRPr="008B248A">
        <w:rPr>
          <w:rFonts w:ascii="Open Sans" w:hAnsi="Open Sans" w:cs="Open Sans"/>
        </w:rPr>
        <w:t>Tennessee Code Title 49. Education § 49-6-3401(b)(1):</w:t>
      </w:r>
    </w:p>
    <w:p w14:paraId="41449AFA" w14:textId="77777777" w:rsidR="008B248A" w:rsidRPr="008B248A" w:rsidRDefault="008B248A" w:rsidP="008B248A">
      <w:pPr>
        <w:rPr>
          <w:rFonts w:ascii="Open Sans" w:hAnsi="Open Sans" w:cs="Open Sans"/>
        </w:rPr>
      </w:pPr>
      <w:r w:rsidRPr="008B248A">
        <w:rPr>
          <w:rFonts w:ascii="Open Sans" w:hAnsi="Open Sans" w:cs="Open Sans"/>
        </w:rPr>
        <w:t xml:space="preserve">“Any principal, principal-teacher or assistant principal may suspend any pupil from attendance at a specific class, classes or school-sponsored activity without suspending the pupil from attendance at school pursuant to an in-school suspension policy adopted by the local board of education. </w:t>
      </w:r>
      <w:r w:rsidRPr="008B248A">
        <w:rPr>
          <w:rFonts w:ascii="Open Sans" w:hAnsi="Open Sans" w:cs="Open Sans"/>
        </w:rPr>
        <w:t> </w:t>
      </w:r>
      <w:r w:rsidRPr="008B248A">
        <w:rPr>
          <w:rFonts w:ascii="Open Sans" w:hAnsi="Open Sans" w:cs="Open Sans"/>
        </w:rPr>
        <w:t xml:space="preserve">Good and </w:t>
      </w:r>
      <w:proofErr w:type="gramStart"/>
      <w:r w:rsidRPr="008B248A">
        <w:rPr>
          <w:rFonts w:ascii="Open Sans" w:hAnsi="Open Sans" w:cs="Open Sans"/>
        </w:rPr>
        <w:t>sufficient</w:t>
      </w:r>
      <w:proofErr w:type="gramEnd"/>
      <w:r w:rsidRPr="008B248A">
        <w:rPr>
          <w:rFonts w:ascii="Open Sans" w:hAnsi="Open Sans" w:cs="Open Sans"/>
        </w:rPr>
        <w:t xml:space="preserve"> reasons for in-school suspension include, but are not limited to, behavior:</w:t>
      </w:r>
    </w:p>
    <w:p w14:paraId="7FFA4A4C" w14:textId="77777777" w:rsidR="008B248A" w:rsidRPr="008B248A" w:rsidRDefault="008B248A" w:rsidP="008B248A">
      <w:pPr>
        <w:numPr>
          <w:ilvl w:val="0"/>
          <w:numId w:val="9"/>
        </w:numPr>
        <w:rPr>
          <w:rFonts w:ascii="Open Sans" w:hAnsi="Open Sans" w:cs="Open Sans"/>
        </w:rPr>
      </w:pPr>
      <w:r w:rsidRPr="008B248A">
        <w:rPr>
          <w:rFonts w:ascii="Open Sans" w:hAnsi="Open Sans" w:cs="Open Sans"/>
        </w:rPr>
        <w:t>That adversely affects the safety and well-being of other pupils;</w:t>
      </w:r>
    </w:p>
    <w:p w14:paraId="400151E0" w14:textId="77777777" w:rsidR="008B248A" w:rsidRPr="008B248A" w:rsidRDefault="008B248A" w:rsidP="008B248A">
      <w:pPr>
        <w:numPr>
          <w:ilvl w:val="0"/>
          <w:numId w:val="9"/>
        </w:numPr>
        <w:rPr>
          <w:rFonts w:ascii="Open Sans" w:hAnsi="Open Sans" w:cs="Open Sans"/>
        </w:rPr>
      </w:pPr>
      <w:r w:rsidRPr="008B248A">
        <w:rPr>
          <w:rFonts w:ascii="Open Sans" w:hAnsi="Open Sans" w:cs="Open Sans"/>
        </w:rPr>
        <w:t xml:space="preserve">That disrupts a class or school sponsored </w:t>
      </w:r>
      <w:proofErr w:type="gramStart"/>
      <w:r w:rsidRPr="008B248A">
        <w:rPr>
          <w:rFonts w:ascii="Open Sans" w:hAnsi="Open Sans" w:cs="Open Sans"/>
        </w:rPr>
        <w:t>activity;  or</w:t>
      </w:r>
      <w:proofErr w:type="gramEnd"/>
    </w:p>
    <w:p w14:paraId="0DAED96B" w14:textId="77777777" w:rsidR="008B248A" w:rsidRPr="008B248A" w:rsidRDefault="008B248A" w:rsidP="008B248A">
      <w:pPr>
        <w:numPr>
          <w:ilvl w:val="0"/>
          <w:numId w:val="9"/>
        </w:numPr>
        <w:rPr>
          <w:rFonts w:ascii="Open Sans" w:hAnsi="Open Sans" w:cs="Open Sans"/>
        </w:rPr>
      </w:pPr>
      <w:r w:rsidRPr="008B248A">
        <w:rPr>
          <w:rFonts w:ascii="Open Sans" w:hAnsi="Open Sans" w:cs="Open Sans"/>
        </w:rPr>
        <w:t>Prejudicial to good order and discipline occurring in class, during school-sponsored activities or on the school campus.</w:t>
      </w:r>
    </w:p>
    <w:p w14:paraId="07D78596" w14:textId="77777777" w:rsidR="008B248A" w:rsidRPr="008B248A" w:rsidRDefault="008B248A" w:rsidP="008B248A">
      <w:pPr>
        <w:rPr>
          <w:rFonts w:ascii="Open Sans" w:hAnsi="Open Sans" w:cs="Open Sans"/>
        </w:rPr>
      </w:pPr>
      <w:r w:rsidRPr="008B248A">
        <w:rPr>
          <w:rFonts w:ascii="Open Sans" w:hAnsi="Open Sans" w:cs="Open Sans"/>
        </w:rPr>
        <w:t xml:space="preserve">In-school suspension policies shall provide that pupils given an in-school suspension in excess of one (1) day from classes shall attend either special classes attended only by students guilty of misconduct or be placed in an isolated area appropriate for study. </w:t>
      </w:r>
      <w:r w:rsidRPr="008B248A">
        <w:rPr>
          <w:rFonts w:ascii="Open Sans" w:hAnsi="Open Sans" w:cs="Open Sans"/>
        </w:rPr>
        <w:t> </w:t>
      </w:r>
      <w:r w:rsidRPr="008B248A">
        <w:rPr>
          <w:rFonts w:ascii="Open Sans" w:hAnsi="Open Sans" w:cs="Open Sans"/>
        </w:rPr>
        <w:t>Students given in-school suspension shall be required to complete academic requirements.”</w:t>
      </w:r>
    </w:p>
    <w:p w14:paraId="722C894E" w14:textId="77777777" w:rsidR="008B248A" w:rsidRPr="008B248A" w:rsidRDefault="008B248A" w:rsidP="008B248A">
      <w:pPr>
        <w:rPr>
          <w:rFonts w:ascii="Open Sans" w:hAnsi="Open Sans" w:cs="Open Sans"/>
        </w:rPr>
      </w:pPr>
      <w:r w:rsidRPr="008B248A">
        <w:rPr>
          <w:rFonts w:ascii="Open Sans" w:hAnsi="Open Sans" w:cs="Open Sans"/>
        </w:rPr>
        <w:t>Per definitions outlined in OSEP’s IDEA Part B Discipline guidance document, in-school suspensions are considered: “Instances in which a child is temporarily removed from his/her regular classroom(s) for disciplinary purposes but remains under the direct supervision of school personnel. Direct supervision means school personnel are physically in the same location as students under their supervision.”</w:t>
      </w:r>
    </w:p>
    <w:p w14:paraId="319C6FEB" w14:textId="77777777" w:rsidR="008B248A" w:rsidRPr="008B248A" w:rsidRDefault="008B248A" w:rsidP="008B248A">
      <w:pPr>
        <w:rPr>
          <w:rFonts w:ascii="Open Sans" w:hAnsi="Open Sans" w:cs="Open Sans"/>
        </w:rPr>
      </w:pPr>
      <w:r w:rsidRPr="008B248A">
        <w:rPr>
          <w:rFonts w:ascii="Open Sans" w:hAnsi="Open Sans" w:cs="Open Sans"/>
          <w:b/>
          <w:bCs/>
        </w:rPr>
        <w:t>Remand</w:t>
      </w:r>
    </w:p>
    <w:p w14:paraId="35B6E14C" w14:textId="142B9FCF" w:rsidR="008B248A" w:rsidRPr="008B248A" w:rsidRDefault="008B248A" w:rsidP="008B248A">
      <w:pPr>
        <w:rPr>
          <w:rFonts w:ascii="Open Sans" w:hAnsi="Open Sans" w:cs="Open Sans"/>
        </w:rPr>
      </w:pPr>
      <w:r w:rsidRPr="008B248A">
        <w:rPr>
          <w:rFonts w:ascii="Open Sans" w:hAnsi="Open Sans" w:cs="Open Sans"/>
        </w:rPr>
        <w:t>Student is reassigned to another facility or program for more than 10 days, which allows the student to continue participation in the general curriculum at a school setting. For students with disabilities, temporary placement is not to exceed 45 days</w:t>
      </w:r>
    </w:p>
    <w:sectPr w:rsidR="008B248A" w:rsidRPr="008B248A" w:rsidSect="008B2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2217"/>
    <w:multiLevelType w:val="hybridMultilevel"/>
    <w:tmpl w:val="0ED08478"/>
    <w:lvl w:ilvl="0" w:tplc="835E545A">
      <w:start w:val="1"/>
      <w:numFmt w:val="bullet"/>
      <w:lvlText w:val="•"/>
      <w:lvlJc w:val="left"/>
      <w:pPr>
        <w:tabs>
          <w:tab w:val="num" w:pos="720"/>
        </w:tabs>
        <w:ind w:left="720" w:hanging="360"/>
      </w:pPr>
      <w:rPr>
        <w:rFonts w:ascii="Arial" w:hAnsi="Arial" w:hint="default"/>
      </w:rPr>
    </w:lvl>
    <w:lvl w:ilvl="1" w:tplc="5450D138" w:tentative="1">
      <w:start w:val="1"/>
      <w:numFmt w:val="bullet"/>
      <w:lvlText w:val="•"/>
      <w:lvlJc w:val="left"/>
      <w:pPr>
        <w:tabs>
          <w:tab w:val="num" w:pos="1440"/>
        </w:tabs>
        <w:ind w:left="1440" w:hanging="360"/>
      </w:pPr>
      <w:rPr>
        <w:rFonts w:ascii="Arial" w:hAnsi="Arial" w:hint="default"/>
      </w:rPr>
    </w:lvl>
    <w:lvl w:ilvl="2" w:tplc="D194A73A" w:tentative="1">
      <w:start w:val="1"/>
      <w:numFmt w:val="bullet"/>
      <w:lvlText w:val="•"/>
      <w:lvlJc w:val="left"/>
      <w:pPr>
        <w:tabs>
          <w:tab w:val="num" w:pos="2160"/>
        </w:tabs>
        <w:ind w:left="2160" w:hanging="360"/>
      </w:pPr>
      <w:rPr>
        <w:rFonts w:ascii="Arial" w:hAnsi="Arial" w:hint="default"/>
      </w:rPr>
    </w:lvl>
    <w:lvl w:ilvl="3" w:tplc="EE4450F0" w:tentative="1">
      <w:start w:val="1"/>
      <w:numFmt w:val="bullet"/>
      <w:lvlText w:val="•"/>
      <w:lvlJc w:val="left"/>
      <w:pPr>
        <w:tabs>
          <w:tab w:val="num" w:pos="2880"/>
        </w:tabs>
        <w:ind w:left="2880" w:hanging="360"/>
      </w:pPr>
      <w:rPr>
        <w:rFonts w:ascii="Arial" w:hAnsi="Arial" w:hint="default"/>
      </w:rPr>
    </w:lvl>
    <w:lvl w:ilvl="4" w:tplc="9AB0F886" w:tentative="1">
      <w:start w:val="1"/>
      <w:numFmt w:val="bullet"/>
      <w:lvlText w:val="•"/>
      <w:lvlJc w:val="left"/>
      <w:pPr>
        <w:tabs>
          <w:tab w:val="num" w:pos="3600"/>
        </w:tabs>
        <w:ind w:left="3600" w:hanging="360"/>
      </w:pPr>
      <w:rPr>
        <w:rFonts w:ascii="Arial" w:hAnsi="Arial" w:hint="default"/>
      </w:rPr>
    </w:lvl>
    <w:lvl w:ilvl="5" w:tplc="ED822930" w:tentative="1">
      <w:start w:val="1"/>
      <w:numFmt w:val="bullet"/>
      <w:lvlText w:val="•"/>
      <w:lvlJc w:val="left"/>
      <w:pPr>
        <w:tabs>
          <w:tab w:val="num" w:pos="4320"/>
        </w:tabs>
        <w:ind w:left="4320" w:hanging="360"/>
      </w:pPr>
      <w:rPr>
        <w:rFonts w:ascii="Arial" w:hAnsi="Arial" w:hint="default"/>
      </w:rPr>
    </w:lvl>
    <w:lvl w:ilvl="6" w:tplc="849236AE" w:tentative="1">
      <w:start w:val="1"/>
      <w:numFmt w:val="bullet"/>
      <w:lvlText w:val="•"/>
      <w:lvlJc w:val="left"/>
      <w:pPr>
        <w:tabs>
          <w:tab w:val="num" w:pos="5040"/>
        </w:tabs>
        <w:ind w:left="5040" w:hanging="360"/>
      </w:pPr>
      <w:rPr>
        <w:rFonts w:ascii="Arial" w:hAnsi="Arial" w:hint="default"/>
      </w:rPr>
    </w:lvl>
    <w:lvl w:ilvl="7" w:tplc="11203482" w:tentative="1">
      <w:start w:val="1"/>
      <w:numFmt w:val="bullet"/>
      <w:lvlText w:val="•"/>
      <w:lvlJc w:val="left"/>
      <w:pPr>
        <w:tabs>
          <w:tab w:val="num" w:pos="5760"/>
        </w:tabs>
        <w:ind w:left="5760" w:hanging="360"/>
      </w:pPr>
      <w:rPr>
        <w:rFonts w:ascii="Arial" w:hAnsi="Arial" w:hint="default"/>
      </w:rPr>
    </w:lvl>
    <w:lvl w:ilvl="8" w:tplc="B84AA8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0496E"/>
    <w:multiLevelType w:val="hybridMultilevel"/>
    <w:tmpl w:val="AA7C0AC4"/>
    <w:lvl w:ilvl="0" w:tplc="78DE417E">
      <w:start w:val="1"/>
      <w:numFmt w:val="bullet"/>
      <w:lvlText w:val="•"/>
      <w:lvlJc w:val="left"/>
      <w:pPr>
        <w:tabs>
          <w:tab w:val="num" w:pos="720"/>
        </w:tabs>
        <w:ind w:left="720" w:hanging="360"/>
      </w:pPr>
      <w:rPr>
        <w:rFonts w:ascii="Arial" w:hAnsi="Arial" w:hint="default"/>
      </w:rPr>
    </w:lvl>
    <w:lvl w:ilvl="1" w:tplc="D24C6F68" w:tentative="1">
      <w:start w:val="1"/>
      <w:numFmt w:val="bullet"/>
      <w:lvlText w:val="•"/>
      <w:lvlJc w:val="left"/>
      <w:pPr>
        <w:tabs>
          <w:tab w:val="num" w:pos="1440"/>
        </w:tabs>
        <w:ind w:left="1440" w:hanging="360"/>
      </w:pPr>
      <w:rPr>
        <w:rFonts w:ascii="Arial" w:hAnsi="Arial" w:hint="default"/>
      </w:rPr>
    </w:lvl>
    <w:lvl w:ilvl="2" w:tplc="4502B8E0" w:tentative="1">
      <w:start w:val="1"/>
      <w:numFmt w:val="bullet"/>
      <w:lvlText w:val="•"/>
      <w:lvlJc w:val="left"/>
      <w:pPr>
        <w:tabs>
          <w:tab w:val="num" w:pos="2160"/>
        </w:tabs>
        <w:ind w:left="2160" w:hanging="360"/>
      </w:pPr>
      <w:rPr>
        <w:rFonts w:ascii="Arial" w:hAnsi="Arial" w:hint="default"/>
      </w:rPr>
    </w:lvl>
    <w:lvl w:ilvl="3" w:tplc="DCA2E12E" w:tentative="1">
      <w:start w:val="1"/>
      <w:numFmt w:val="bullet"/>
      <w:lvlText w:val="•"/>
      <w:lvlJc w:val="left"/>
      <w:pPr>
        <w:tabs>
          <w:tab w:val="num" w:pos="2880"/>
        </w:tabs>
        <w:ind w:left="2880" w:hanging="360"/>
      </w:pPr>
      <w:rPr>
        <w:rFonts w:ascii="Arial" w:hAnsi="Arial" w:hint="default"/>
      </w:rPr>
    </w:lvl>
    <w:lvl w:ilvl="4" w:tplc="466E48F0" w:tentative="1">
      <w:start w:val="1"/>
      <w:numFmt w:val="bullet"/>
      <w:lvlText w:val="•"/>
      <w:lvlJc w:val="left"/>
      <w:pPr>
        <w:tabs>
          <w:tab w:val="num" w:pos="3600"/>
        </w:tabs>
        <w:ind w:left="3600" w:hanging="360"/>
      </w:pPr>
      <w:rPr>
        <w:rFonts w:ascii="Arial" w:hAnsi="Arial" w:hint="default"/>
      </w:rPr>
    </w:lvl>
    <w:lvl w:ilvl="5" w:tplc="81785874" w:tentative="1">
      <w:start w:val="1"/>
      <w:numFmt w:val="bullet"/>
      <w:lvlText w:val="•"/>
      <w:lvlJc w:val="left"/>
      <w:pPr>
        <w:tabs>
          <w:tab w:val="num" w:pos="4320"/>
        </w:tabs>
        <w:ind w:left="4320" w:hanging="360"/>
      </w:pPr>
      <w:rPr>
        <w:rFonts w:ascii="Arial" w:hAnsi="Arial" w:hint="default"/>
      </w:rPr>
    </w:lvl>
    <w:lvl w:ilvl="6" w:tplc="CF8842BE" w:tentative="1">
      <w:start w:val="1"/>
      <w:numFmt w:val="bullet"/>
      <w:lvlText w:val="•"/>
      <w:lvlJc w:val="left"/>
      <w:pPr>
        <w:tabs>
          <w:tab w:val="num" w:pos="5040"/>
        </w:tabs>
        <w:ind w:left="5040" w:hanging="360"/>
      </w:pPr>
      <w:rPr>
        <w:rFonts w:ascii="Arial" w:hAnsi="Arial" w:hint="default"/>
      </w:rPr>
    </w:lvl>
    <w:lvl w:ilvl="7" w:tplc="E2464150" w:tentative="1">
      <w:start w:val="1"/>
      <w:numFmt w:val="bullet"/>
      <w:lvlText w:val="•"/>
      <w:lvlJc w:val="left"/>
      <w:pPr>
        <w:tabs>
          <w:tab w:val="num" w:pos="5760"/>
        </w:tabs>
        <w:ind w:left="5760" w:hanging="360"/>
      </w:pPr>
      <w:rPr>
        <w:rFonts w:ascii="Arial" w:hAnsi="Arial" w:hint="default"/>
      </w:rPr>
    </w:lvl>
    <w:lvl w:ilvl="8" w:tplc="2E56E2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091F9F"/>
    <w:multiLevelType w:val="hybridMultilevel"/>
    <w:tmpl w:val="B9662E64"/>
    <w:lvl w:ilvl="0" w:tplc="417699EC">
      <w:start w:val="1"/>
      <w:numFmt w:val="bullet"/>
      <w:lvlText w:val="•"/>
      <w:lvlJc w:val="left"/>
      <w:pPr>
        <w:tabs>
          <w:tab w:val="num" w:pos="720"/>
        </w:tabs>
        <w:ind w:left="720" w:hanging="360"/>
      </w:pPr>
      <w:rPr>
        <w:rFonts w:ascii="Arial" w:hAnsi="Arial" w:hint="default"/>
      </w:rPr>
    </w:lvl>
    <w:lvl w:ilvl="1" w:tplc="92CE54D2" w:tentative="1">
      <w:start w:val="1"/>
      <w:numFmt w:val="bullet"/>
      <w:lvlText w:val="•"/>
      <w:lvlJc w:val="left"/>
      <w:pPr>
        <w:tabs>
          <w:tab w:val="num" w:pos="1440"/>
        </w:tabs>
        <w:ind w:left="1440" w:hanging="360"/>
      </w:pPr>
      <w:rPr>
        <w:rFonts w:ascii="Arial" w:hAnsi="Arial" w:hint="default"/>
      </w:rPr>
    </w:lvl>
    <w:lvl w:ilvl="2" w:tplc="58C4C1D6" w:tentative="1">
      <w:start w:val="1"/>
      <w:numFmt w:val="bullet"/>
      <w:lvlText w:val="•"/>
      <w:lvlJc w:val="left"/>
      <w:pPr>
        <w:tabs>
          <w:tab w:val="num" w:pos="2160"/>
        </w:tabs>
        <w:ind w:left="2160" w:hanging="360"/>
      </w:pPr>
      <w:rPr>
        <w:rFonts w:ascii="Arial" w:hAnsi="Arial" w:hint="default"/>
      </w:rPr>
    </w:lvl>
    <w:lvl w:ilvl="3" w:tplc="DEFAAAFA" w:tentative="1">
      <w:start w:val="1"/>
      <w:numFmt w:val="bullet"/>
      <w:lvlText w:val="•"/>
      <w:lvlJc w:val="left"/>
      <w:pPr>
        <w:tabs>
          <w:tab w:val="num" w:pos="2880"/>
        </w:tabs>
        <w:ind w:left="2880" w:hanging="360"/>
      </w:pPr>
      <w:rPr>
        <w:rFonts w:ascii="Arial" w:hAnsi="Arial" w:hint="default"/>
      </w:rPr>
    </w:lvl>
    <w:lvl w:ilvl="4" w:tplc="C6ECF9EE" w:tentative="1">
      <w:start w:val="1"/>
      <w:numFmt w:val="bullet"/>
      <w:lvlText w:val="•"/>
      <w:lvlJc w:val="left"/>
      <w:pPr>
        <w:tabs>
          <w:tab w:val="num" w:pos="3600"/>
        </w:tabs>
        <w:ind w:left="3600" w:hanging="360"/>
      </w:pPr>
      <w:rPr>
        <w:rFonts w:ascii="Arial" w:hAnsi="Arial" w:hint="default"/>
      </w:rPr>
    </w:lvl>
    <w:lvl w:ilvl="5" w:tplc="DFA449DA" w:tentative="1">
      <w:start w:val="1"/>
      <w:numFmt w:val="bullet"/>
      <w:lvlText w:val="•"/>
      <w:lvlJc w:val="left"/>
      <w:pPr>
        <w:tabs>
          <w:tab w:val="num" w:pos="4320"/>
        </w:tabs>
        <w:ind w:left="4320" w:hanging="360"/>
      </w:pPr>
      <w:rPr>
        <w:rFonts w:ascii="Arial" w:hAnsi="Arial" w:hint="default"/>
      </w:rPr>
    </w:lvl>
    <w:lvl w:ilvl="6" w:tplc="A42234EE" w:tentative="1">
      <w:start w:val="1"/>
      <w:numFmt w:val="bullet"/>
      <w:lvlText w:val="•"/>
      <w:lvlJc w:val="left"/>
      <w:pPr>
        <w:tabs>
          <w:tab w:val="num" w:pos="5040"/>
        </w:tabs>
        <w:ind w:left="5040" w:hanging="360"/>
      </w:pPr>
      <w:rPr>
        <w:rFonts w:ascii="Arial" w:hAnsi="Arial" w:hint="default"/>
      </w:rPr>
    </w:lvl>
    <w:lvl w:ilvl="7" w:tplc="FE70D2F6" w:tentative="1">
      <w:start w:val="1"/>
      <w:numFmt w:val="bullet"/>
      <w:lvlText w:val="•"/>
      <w:lvlJc w:val="left"/>
      <w:pPr>
        <w:tabs>
          <w:tab w:val="num" w:pos="5760"/>
        </w:tabs>
        <w:ind w:left="5760" w:hanging="360"/>
      </w:pPr>
      <w:rPr>
        <w:rFonts w:ascii="Arial" w:hAnsi="Arial" w:hint="default"/>
      </w:rPr>
    </w:lvl>
    <w:lvl w:ilvl="8" w:tplc="BCB050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705FC7"/>
    <w:multiLevelType w:val="hybridMultilevel"/>
    <w:tmpl w:val="2236B87A"/>
    <w:lvl w:ilvl="0" w:tplc="9E62BD8C">
      <w:start w:val="1"/>
      <w:numFmt w:val="bullet"/>
      <w:lvlText w:val="•"/>
      <w:lvlJc w:val="left"/>
      <w:pPr>
        <w:tabs>
          <w:tab w:val="num" w:pos="720"/>
        </w:tabs>
        <w:ind w:left="720" w:hanging="360"/>
      </w:pPr>
      <w:rPr>
        <w:rFonts w:ascii="Arial" w:hAnsi="Arial" w:hint="default"/>
      </w:rPr>
    </w:lvl>
    <w:lvl w:ilvl="1" w:tplc="3C76E626" w:tentative="1">
      <w:start w:val="1"/>
      <w:numFmt w:val="bullet"/>
      <w:lvlText w:val="•"/>
      <w:lvlJc w:val="left"/>
      <w:pPr>
        <w:tabs>
          <w:tab w:val="num" w:pos="1440"/>
        </w:tabs>
        <w:ind w:left="1440" w:hanging="360"/>
      </w:pPr>
      <w:rPr>
        <w:rFonts w:ascii="Arial" w:hAnsi="Arial" w:hint="default"/>
      </w:rPr>
    </w:lvl>
    <w:lvl w:ilvl="2" w:tplc="D16468AC" w:tentative="1">
      <w:start w:val="1"/>
      <w:numFmt w:val="bullet"/>
      <w:lvlText w:val="•"/>
      <w:lvlJc w:val="left"/>
      <w:pPr>
        <w:tabs>
          <w:tab w:val="num" w:pos="2160"/>
        </w:tabs>
        <w:ind w:left="2160" w:hanging="360"/>
      </w:pPr>
      <w:rPr>
        <w:rFonts w:ascii="Arial" w:hAnsi="Arial" w:hint="default"/>
      </w:rPr>
    </w:lvl>
    <w:lvl w:ilvl="3" w:tplc="E5F476CA" w:tentative="1">
      <w:start w:val="1"/>
      <w:numFmt w:val="bullet"/>
      <w:lvlText w:val="•"/>
      <w:lvlJc w:val="left"/>
      <w:pPr>
        <w:tabs>
          <w:tab w:val="num" w:pos="2880"/>
        </w:tabs>
        <w:ind w:left="2880" w:hanging="360"/>
      </w:pPr>
      <w:rPr>
        <w:rFonts w:ascii="Arial" w:hAnsi="Arial" w:hint="default"/>
      </w:rPr>
    </w:lvl>
    <w:lvl w:ilvl="4" w:tplc="8BA49CFC" w:tentative="1">
      <w:start w:val="1"/>
      <w:numFmt w:val="bullet"/>
      <w:lvlText w:val="•"/>
      <w:lvlJc w:val="left"/>
      <w:pPr>
        <w:tabs>
          <w:tab w:val="num" w:pos="3600"/>
        </w:tabs>
        <w:ind w:left="3600" w:hanging="360"/>
      </w:pPr>
      <w:rPr>
        <w:rFonts w:ascii="Arial" w:hAnsi="Arial" w:hint="default"/>
      </w:rPr>
    </w:lvl>
    <w:lvl w:ilvl="5" w:tplc="F8381EFE" w:tentative="1">
      <w:start w:val="1"/>
      <w:numFmt w:val="bullet"/>
      <w:lvlText w:val="•"/>
      <w:lvlJc w:val="left"/>
      <w:pPr>
        <w:tabs>
          <w:tab w:val="num" w:pos="4320"/>
        </w:tabs>
        <w:ind w:left="4320" w:hanging="360"/>
      </w:pPr>
      <w:rPr>
        <w:rFonts w:ascii="Arial" w:hAnsi="Arial" w:hint="default"/>
      </w:rPr>
    </w:lvl>
    <w:lvl w:ilvl="6" w:tplc="3614233E" w:tentative="1">
      <w:start w:val="1"/>
      <w:numFmt w:val="bullet"/>
      <w:lvlText w:val="•"/>
      <w:lvlJc w:val="left"/>
      <w:pPr>
        <w:tabs>
          <w:tab w:val="num" w:pos="5040"/>
        </w:tabs>
        <w:ind w:left="5040" w:hanging="360"/>
      </w:pPr>
      <w:rPr>
        <w:rFonts w:ascii="Arial" w:hAnsi="Arial" w:hint="default"/>
      </w:rPr>
    </w:lvl>
    <w:lvl w:ilvl="7" w:tplc="67F0EABE" w:tentative="1">
      <w:start w:val="1"/>
      <w:numFmt w:val="bullet"/>
      <w:lvlText w:val="•"/>
      <w:lvlJc w:val="left"/>
      <w:pPr>
        <w:tabs>
          <w:tab w:val="num" w:pos="5760"/>
        </w:tabs>
        <w:ind w:left="5760" w:hanging="360"/>
      </w:pPr>
      <w:rPr>
        <w:rFonts w:ascii="Arial" w:hAnsi="Arial" w:hint="default"/>
      </w:rPr>
    </w:lvl>
    <w:lvl w:ilvl="8" w:tplc="20968F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557CF"/>
    <w:multiLevelType w:val="hybridMultilevel"/>
    <w:tmpl w:val="E47AE210"/>
    <w:lvl w:ilvl="0" w:tplc="FC864040">
      <w:start w:val="1"/>
      <w:numFmt w:val="bullet"/>
      <w:lvlText w:val="•"/>
      <w:lvlJc w:val="left"/>
      <w:pPr>
        <w:tabs>
          <w:tab w:val="num" w:pos="720"/>
        </w:tabs>
        <w:ind w:left="720" w:hanging="360"/>
      </w:pPr>
      <w:rPr>
        <w:rFonts w:ascii="Arial" w:hAnsi="Arial" w:hint="default"/>
      </w:rPr>
    </w:lvl>
    <w:lvl w:ilvl="1" w:tplc="42A8A818" w:tentative="1">
      <w:start w:val="1"/>
      <w:numFmt w:val="bullet"/>
      <w:lvlText w:val="•"/>
      <w:lvlJc w:val="left"/>
      <w:pPr>
        <w:tabs>
          <w:tab w:val="num" w:pos="1440"/>
        </w:tabs>
        <w:ind w:left="1440" w:hanging="360"/>
      </w:pPr>
      <w:rPr>
        <w:rFonts w:ascii="Arial" w:hAnsi="Arial" w:hint="default"/>
      </w:rPr>
    </w:lvl>
    <w:lvl w:ilvl="2" w:tplc="46DCD8CE" w:tentative="1">
      <w:start w:val="1"/>
      <w:numFmt w:val="bullet"/>
      <w:lvlText w:val="•"/>
      <w:lvlJc w:val="left"/>
      <w:pPr>
        <w:tabs>
          <w:tab w:val="num" w:pos="2160"/>
        </w:tabs>
        <w:ind w:left="2160" w:hanging="360"/>
      </w:pPr>
      <w:rPr>
        <w:rFonts w:ascii="Arial" w:hAnsi="Arial" w:hint="default"/>
      </w:rPr>
    </w:lvl>
    <w:lvl w:ilvl="3" w:tplc="FFC0F7F2" w:tentative="1">
      <w:start w:val="1"/>
      <w:numFmt w:val="bullet"/>
      <w:lvlText w:val="•"/>
      <w:lvlJc w:val="left"/>
      <w:pPr>
        <w:tabs>
          <w:tab w:val="num" w:pos="2880"/>
        </w:tabs>
        <w:ind w:left="2880" w:hanging="360"/>
      </w:pPr>
      <w:rPr>
        <w:rFonts w:ascii="Arial" w:hAnsi="Arial" w:hint="default"/>
      </w:rPr>
    </w:lvl>
    <w:lvl w:ilvl="4" w:tplc="C55E32CE" w:tentative="1">
      <w:start w:val="1"/>
      <w:numFmt w:val="bullet"/>
      <w:lvlText w:val="•"/>
      <w:lvlJc w:val="left"/>
      <w:pPr>
        <w:tabs>
          <w:tab w:val="num" w:pos="3600"/>
        </w:tabs>
        <w:ind w:left="3600" w:hanging="360"/>
      </w:pPr>
      <w:rPr>
        <w:rFonts w:ascii="Arial" w:hAnsi="Arial" w:hint="default"/>
      </w:rPr>
    </w:lvl>
    <w:lvl w:ilvl="5" w:tplc="8996A076" w:tentative="1">
      <w:start w:val="1"/>
      <w:numFmt w:val="bullet"/>
      <w:lvlText w:val="•"/>
      <w:lvlJc w:val="left"/>
      <w:pPr>
        <w:tabs>
          <w:tab w:val="num" w:pos="4320"/>
        </w:tabs>
        <w:ind w:left="4320" w:hanging="360"/>
      </w:pPr>
      <w:rPr>
        <w:rFonts w:ascii="Arial" w:hAnsi="Arial" w:hint="default"/>
      </w:rPr>
    </w:lvl>
    <w:lvl w:ilvl="6" w:tplc="6F76A5BC" w:tentative="1">
      <w:start w:val="1"/>
      <w:numFmt w:val="bullet"/>
      <w:lvlText w:val="•"/>
      <w:lvlJc w:val="left"/>
      <w:pPr>
        <w:tabs>
          <w:tab w:val="num" w:pos="5040"/>
        </w:tabs>
        <w:ind w:left="5040" w:hanging="360"/>
      </w:pPr>
      <w:rPr>
        <w:rFonts w:ascii="Arial" w:hAnsi="Arial" w:hint="default"/>
      </w:rPr>
    </w:lvl>
    <w:lvl w:ilvl="7" w:tplc="C4A8FD38" w:tentative="1">
      <w:start w:val="1"/>
      <w:numFmt w:val="bullet"/>
      <w:lvlText w:val="•"/>
      <w:lvlJc w:val="left"/>
      <w:pPr>
        <w:tabs>
          <w:tab w:val="num" w:pos="5760"/>
        </w:tabs>
        <w:ind w:left="5760" w:hanging="360"/>
      </w:pPr>
      <w:rPr>
        <w:rFonts w:ascii="Arial" w:hAnsi="Arial" w:hint="default"/>
      </w:rPr>
    </w:lvl>
    <w:lvl w:ilvl="8" w:tplc="04E2A4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8276A8"/>
    <w:multiLevelType w:val="hybridMultilevel"/>
    <w:tmpl w:val="D7BCC526"/>
    <w:lvl w:ilvl="0" w:tplc="DFE870D8">
      <w:start w:val="1"/>
      <w:numFmt w:val="bullet"/>
      <w:lvlText w:val="•"/>
      <w:lvlJc w:val="left"/>
      <w:pPr>
        <w:tabs>
          <w:tab w:val="num" w:pos="720"/>
        </w:tabs>
        <w:ind w:left="720" w:hanging="360"/>
      </w:pPr>
      <w:rPr>
        <w:rFonts w:ascii="Arial" w:hAnsi="Arial" w:hint="default"/>
      </w:rPr>
    </w:lvl>
    <w:lvl w:ilvl="1" w:tplc="7D9650DC" w:tentative="1">
      <w:start w:val="1"/>
      <w:numFmt w:val="bullet"/>
      <w:lvlText w:val="•"/>
      <w:lvlJc w:val="left"/>
      <w:pPr>
        <w:tabs>
          <w:tab w:val="num" w:pos="1440"/>
        </w:tabs>
        <w:ind w:left="1440" w:hanging="360"/>
      </w:pPr>
      <w:rPr>
        <w:rFonts w:ascii="Arial" w:hAnsi="Arial" w:hint="default"/>
      </w:rPr>
    </w:lvl>
    <w:lvl w:ilvl="2" w:tplc="8F04FA2A" w:tentative="1">
      <w:start w:val="1"/>
      <w:numFmt w:val="bullet"/>
      <w:lvlText w:val="•"/>
      <w:lvlJc w:val="left"/>
      <w:pPr>
        <w:tabs>
          <w:tab w:val="num" w:pos="2160"/>
        </w:tabs>
        <w:ind w:left="2160" w:hanging="360"/>
      </w:pPr>
      <w:rPr>
        <w:rFonts w:ascii="Arial" w:hAnsi="Arial" w:hint="default"/>
      </w:rPr>
    </w:lvl>
    <w:lvl w:ilvl="3" w:tplc="D72EA046" w:tentative="1">
      <w:start w:val="1"/>
      <w:numFmt w:val="bullet"/>
      <w:lvlText w:val="•"/>
      <w:lvlJc w:val="left"/>
      <w:pPr>
        <w:tabs>
          <w:tab w:val="num" w:pos="2880"/>
        </w:tabs>
        <w:ind w:left="2880" w:hanging="360"/>
      </w:pPr>
      <w:rPr>
        <w:rFonts w:ascii="Arial" w:hAnsi="Arial" w:hint="default"/>
      </w:rPr>
    </w:lvl>
    <w:lvl w:ilvl="4" w:tplc="2030411E" w:tentative="1">
      <w:start w:val="1"/>
      <w:numFmt w:val="bullet"/>
      <w:lvlText w:val="•"/>
      <w:lvlJc w:val="left"/>
      <w:pPr>
        <w:tabs>
          <w:tab w:val="num" w:pos="3600"/>
        </w:tabs>
        <w:ind w:left="3600" w:hanging="360"/>
      </w:pPr>
      <w:rPr>
        <w:rFonts w:ascii="Arial" w:hAnsi="Arial" w:hint="default"/>
      </w:rPr>
    </w:lvl>
    <w:lvl w:ilvl="5" w:tplc="6CF8C60E" w:tentative="1">
      <w:start w:val="1"/>
      <w:numFmt w:val="bullet"/>
      <w:lvlText w:val="•"/>
      <w:lvlJc w:val="left"/>
      <w:pPr>
        <w:tabs>
          <w:tab w:val="num" w:pos="4320"/>
        </w:tabs>
        <w:ind w:left="4320" w:hanging="360"/>
      </w:pPr>
      <w:rPr>
        <w:rFonts w:ascii="Arial" w:hAnsi="Arial" w:hint="default"/>
      </w:rPr>
    </w:lvl>
    <w:lvl w:ilvl="6" w:tplc="796E06F0" w:tentative="1">
      <w:start w:val="1"/>
      <w:numFmt w:val="bullet"/>
      <w:lvlText w:val="•"/>
      <w:lvlJc w:val="left"/>
      <w:pPr>
        <w:tabs>
          <w:tab w:val="num" w:pos="5040"/>
        </w:tabs>
        <w:ind w:left="5040" w:hanging="360"/>
      </w:pPr>
      <w:rPr>
        <w:rFonts w:ascii="Arial" w:hAnsi="Arial" w:hint="default"/>
      </w:rPr>
    </w:lvl>
    <w:lvl w:ilvl="7" w:tplc="72C6AF60" w:tentative="1">
      <w:start w:val="1"/>
      <w:numFmt w:val="bullet"/>
      <w:lvlText w:val="•"/>
      <w:lvlJc w:val="left"/>
      <w:pPr>
        <w:tabs>
          <w:tab w:val="num" w:pos="5760"/>
        </w:tabs>
        <w:ind w:left="5760" w:hanging="360"/>
      </w:pPr>
      <w:rPr>
        <w:rFonts w:ascii="Arial" w:hAnsi="Arial" w:hint="default"/>
      </w:rPr>
    </w:lvl>
    <w:lvl w:ilvl="8" w:tplc="68480B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9C4029"/>
    <w:multiLevelType w:val="hybridMultilevel"/>
    <w:tmpl w:val="553A0392"/>
    <w:lvl w:ilvl="0" w:tplc="3FC4CC9A">
      <w:start w:val="1"/>
      <w:numFmt w:val="upperLetter"/>
      <w:lvlText w:val="%1."/>
      <w:lvlJc w:val="left"/>
      <w:pPr>
        <w:tabs>
          <w:tab w:val="num" w:pos="720"/>
        </w:tabs>
        <w:ind w:left="720" w:hanging="360"/>
      </w:pPr>
    </w:lvl>
    <w:lvl w:ilvl="1" w:tplc="E266228A" w:tentative="1">
      <w:start w:val="1"/>
      <w:numFmt w:val="upperLetter"/>
      <w:lvlText w:val="%2."/>
      <w:lvlJc w:val="left"/>
      <w:pPr>
        <w:tabs>
          <w:tab w:val="num" w:pos="1440"/>
        </w:tabs>
        <w:ind w:left="1440" w:hanging="360"/>
      </w:pPr>
    </w:lvl>
    <w:lvl w:ilvl="2" w:tplc="8968BAA6" w:tentative="1">
      <w:start w:val="1"/>
      <w:numFmt w:val="upperLetter"/>
      <w:lvlText w:val="%3."/>
      <w:lvlJc w:val="left"/>
      <w:pPr>
        <w:tabs>
          <w:tab w:val="num" w:pos="2160"/>
        </w:tabs>
        <w:ind w:left="2160" w:hanging="360"/>
      </w:pPr>
    </w:lvl>
    <w:lvl w:ilvl="3" w:tplc="ED2AFBCA" w:tentative="1">
      <w:start w:val="1"/>
      <w:numFmt w:val="upperLetter"/>
      <w:lvlText w:val="%4."/>
      <w:lvlJc w:val="left"/>
      <w:pPr>
        <w:tabs>
          <w:tab w:val="num" w:pos="2880"/>
        </w:tabs>
        <w:ind w:left="2880" w:hanging="360"/>
      </w:pPr>
    </w:lvl>
    <w:lvl w:ilvl="4" w:tplc="18ACD120" w:tentative="1">
      <w:start w:val="1"/>
      <w:numFmt w:val="upperLetter"/>
      <w:lvlText w:val="%5."/>
      <w:lvlJc w:val="left"/>
      <w:pPr>
        <w:tabs>
          <w:tab w:val="num" w:pos="3600"/>
        </w:tabs>
        <w:ind w:left="3600" w:hanging="360"/>
      </w:pPr>
    </w:lvl>
    <w:lvl w:ilvl="5" w:tplc="6458D938" w:tentative="1">
      <w:start w:val="1"/>
      <w:numFmt w:val="upperLetter"/>
      <w:lvlText w:val="%6."/>
      <w:lvlJc w:val="left"/>
      <w:pPr>
        <w:tabs>
          <w:tab w:val="num" w:pos="4320"/>
        </w:tabs>
        <w:ind w:left="4320" w:hanging="360"/>
      </w:pPr>
    </w:lvl>
    <w:lvl w:ilvl="6" w:tplc="C9C89682" w:tentative="1">
      <w:start w:val="1"/>
      <w:numFmt w:val="upperLetter"/>
      <w:lvlText w:val="%7."/>
      <w:lvlJc w:val="left"/>
      <w:pPr>
        <w:tabs>
          <w:tab w:val="num" w:pos="5040"/>
        </w:tabs>
        <w:ind w:left="5040" w:hanging="360"/>
      </w:pPr>
    </w:lvl>
    <w:lvl w:ilvl="7" w:tplc="A8BA817C" w:tentative="1">
      <w:start w:val="1"/>
      <w:numFmt w:val="upperLetter"/>
      <w:lvlText w:val="%8."/>
      <w:lvlJc w:val="left"/>
      <w:pPr>
        <w:tabs>
          <w:tab w:val="num" w:pos="5760"/>
        </w:tabs>
        <w:ind w:left="5760" w:hanging="360"/>
      </w:pPr>
    </w:lvl>
    <w:lvl w:ilvl="8" w:tplc="E1C6254E" w:tentative="1">
      <w:start w:val="1"/>
      <w:numFmt w:val="upperLetter"/>
      <w:lvlText w:val="%9."/>
      <w:lvlJc w:val="left"/>
      <w:pPr>
        <w:tabs>
          <w:tab w:val="num" w:pos="6480"/>
        </w:tabs>
        <w:ind w:left="6480" w:hanging="360"/>
      </w:pPr>
    </w:lvl>
  </w:abstractNum>
  <w:abstractNum w:abstractNumId="7" w15:restartNumberingAfterBreak="0">
    <w:nsid w:val="44D730B6"/>
    <w:multiLevelType w:val="hybridMultilevel"/>
    <w:tmpl w:val="F0FE02C8"/>
    <w:lvl w:ilvl="0" w:tplc="062E5B14">
      <w:start w:val="1"/>
      <w:numFmt w:val="bullet"/>
      <w:lvlText w:val="•"/>
      <w:lvlJc w:val="left"/>
      <w:pPr>
        <w:tabs>
          <w:tab w:val="num" w:pos="720"/>
        </w:tabs>
        <w:ind w:left="720" w:hanging="360"/>
      </w:pPr>
      <w:rPr>
        <w:rFonts w:ascii="Arial" w:hAnsi="Arial" w:hint="default"/>
      </w:rPr>
    </w:lvl>
    <w:lvl w:ilvl="1" w:tplc="9906FE16" w:tentative="1">
      <w:start w:val="1"/>
      <w:numFmt w:val="bullet"/>
      <w:lvlText w:val="•"/>
      <w:lvlJc w:val="left"/>
      <w:pPr>
        <w:tabs>
          <w:tab w:val="num" w:pos="1440"/>
        </w:tabs>
        <w:ind w:left="1440" w:hanging="360"/>
      </w:pPr>
      <w:rPr>
        <w:rFonts w:ascii="Arial" w:hAnsi="Arial" w:hint="default"/>
      </w:rPr>
    </w:lvl>
    <w:lvl w:ilvl="2" w:tplc="5F688950" w:tentative="1">
      <w:start w:val="1"/>
      <w:numFmt w:val="bullet"/>
      <w:lvlText w:val="•"/>
      <w:lvlJc w:val="left"/>
      <w:pPr>
        <w:tabs>
          <w:tab w:val="num" w:pos="2160"/>
        </w:tabs>
        <w:ind w:left="2160" w:hanging="360"/>
      </w:pPr>
      <w:rPr>
        <w:rFonts w:ascii="Arial" w:hAnsi="Arial" w:hint="default"/>
      </w:rPr>
    </w:lvl>
    <w:lvl w:ilvl="3" w:tplc="391EB18C" w:tentative="1">
      <w:start w:val="1"/>
      <w:numFmt w:val="bullet"/>
      <w:lvlText w:val="•"/>
      <w:lvlJc w:val="left"/>
      <w:pPr>
        <w:tabs>
          <w:tab w:val="num" w:pos="2880"/>
        </w:tabs>
        <w:ind w:left="2880" w:hanging="360"/>
      </w:pPr>
      <w:rPr>
        <w:rFonts w:ascii="Arial" w:hAnsi="Arial" w:hint="default"/>
      </w:rPr>
    </w:lvl>
    <w:lvl w:ilvl="4" w:tplc="DA44EED0" w:tentative="1">
      <w:start w:val="1"/>
      <w:numFmt w:val="bullet"/>
      <w:lvlText w:val="•"/>
      <w:lvlJc w:val="left"/>
      <w:pPr>
        <w:tabs>
          <w:tab w:val="num" w:pos="3600"/>
        </w:tabs>
        <w:ind w:left="3600" w:hanging="360"/>
      </w:pPr>
      <w:rPr>
        <w:rFonts w:ascii="Arial" w:hAnsi="Arial" w:hint="default"/>
      </w:rPr>
    </w:lvl>
    <w:lvl w:ilvl="5" w:tplc="6AD4BC08" w:tentative="1">
      <w:start w:val="1"/>
      <w:numFmt w:val="bullet"/>
      <w:lvlText w:val="•"/>
      <w:lvlJc w:val="left"/>
      <w:pPr>
        <w:tabs>
          <w:tab w:val="num" w:pos="4320"/>
        </w:tabs>
        <w:ind w:left="4320" w:hanging="360"/>
      </w:pPr>
      <w:rPr>
        <w:rFonts w:ascii="Arial" w:hAnsi="Arial" w:hint="default"/>
      </w:rPr>
    </w:lvl>
    <w:lvl w:ilvl="6" w:tplc="0B3E9178" w:tentative="1">
      <w:start w:val="1"/>
      <w:numFmt w:val="bullet"/>
      <w:lvlText w:val="•"/>
      <w:lvlJc w:val="left"/>
      <w:pPr>
        <w:tabs>
          <w:tab w:val="num" w:pos="5040"/>
        </w:tabs>
        <w:ind w:left="5040" w:hanging="360"/>
      </w:pPr>
      <w:rPr>
        <w:rFonts w:ascii="Arial" w:hAnsi="Arial" w:hint="default"/>
      </w:rPr>
    </w:lvl>
    <w:lvl w:ilvl="7" w:tplc="426EF4A0" w:tentative="1">
      <w:start w:val="1"/>
      <w:numFmt w:val="bullet"/>
      <w:lvlText w:val="•"/>
      <w:lvlJc w:val="left"/>
      <w:pPr>
        <w:tabs>
          <w:tab w:val="num" w:pos="5760"/>
        </w:tabs>
        <w:ind w:left="5760" w:hanging="360"/>
      </w:pPr>
      <w:rPr>
        <w:rFonts w:ascii="Arial" w:hAnsi="Arial" w:hint="default"/>
      </w:rPr>
    </w:lvl>
    <w:lvl w:ilvl="8" w:tplc="37E6E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790A69"/>
    <w:multiLevelType w:val="hybridMultilevel"/>
    <w:tmpl w:val="1576C5F4"/>
    <w:lvl w:ilvl="0" w:tplc="C57A6528">
      <w:start w:val="1"/>
      <w:numFmt w:val="bullet"/>
      <w:lvlText w:val="•"/>
      <w:lvlJc w:val="left"/>
      <w:pPr>
        <w:tabs>
          <w:tab w:val="num" w:pos="720"/>
        </w:tabs>
        <w:ind w:left="720" w:hanging="360"/>
      </w:pPr>
      <w:rPr>
        <w:rFonts w:ascii="Arial" w:hAnsi="Arial" w:hint="default"/>
      </w:rPr>
    </w:lvl>
    <w:lvl w:ilvl="1" w:tplc="4D809D2C" w:tentative="1">
      <w:start w:val="1"/>
      <w:numFmt w:val="bullet"/>
      <w:lvlText w:val="•"/>
      <w:lvlJc w:val="left"/>
      <w:pPr>
        <w:tabs>
          <w:tab w:val="num" w:pos="1440"/>
        </w:tabs>
        <w:ind w:left="1440" w:hanging="360"/>
      </w:pPr>
      <w:rPr>
        <w:rFonts w:ascii="Arial" w:hAnsi="Arial" w:hint="default"/>
      </w:rPr>
    </w:lvl>
    <w:lvl w:ilvl="2" w:tplc="1662EE70" w:tentative="1">
      <w:start w:val="1"/>
      <w:numFmt w:val="bullet"/>
      <w:lvlText w:val="•"/>
      <w:lvlJc w:val="left"/>
      <w:pPr>
        <w:tabs>
          <w:tab w:val="num" w:pos="2160"/>
        </w:tabs>
        <w:ind w:left="2160" w:hanging="360"/>
      </w:pPr>
      <w:rPr>
        <w:rFonts w:ascii="Arial" w:hAnsi="Arial" w:hint="default"/>
      </w:rPr>
    </w:lvl>
    <w:lvl w:ilvl="3" w:tplc="0346CBAE" w:tentative="1">
      <w:start w:val="1"/>
      <w:numFmt w:val="bullet"/>
      <w:lvlText w:val="•"/>
      <w:lvlJc w:val="left"/>
      <w:pPr>
        <w:tabs>
          <w:tab w:val="num" w:pos="2880"/>
        </w:tabs>
        <w:ind w:left="2880" w:hanging="360"/>
      </w:pPr>
      <w:rPr>
        <w:rFonts w:ascii="Arial" w:hAnsi="Arial" w:hint="default"/>
      </w:rPr>
    </w:lvl>
    <w:lvl w:ilvl="4" w:tplc="5F5CB6F2" w:tentative="1">
      <w:start w:val="1"/>
      <w:numFmt w:val="bullet"/>
      <w:lvlText w:val="•"/>
      <w:lvlJc w:val="left"/>
      <w:pPr>
        <w:tabs>
          <w:tab w:val="num" w:pos="3600"/>
        </w:tabs>
        <w:ind w:left="3600" w:hanging="360"/>
      </w:pPr>
      <w:rPr>
        <w:rFonts w:ascii="Arial" w:hAnsi="Arial" w:hint="default"/>
      </w:rPr>
    </w:lvl>
    <w:lvl w:ilvl="5" w:tplc="D66C7BF8" w:tentative="1">
      <w:start w:val="1"/>
      <w:numFmt w:val="bullet"/>
      <w:lvlText w:val="•"/>
      <w:lvlJc w:val="left"/>
      <w:pPr>
        <w:tabs>
          <w:tab w:val="num" w:pos="4320"/>
        </w:tabs>
        <w:ind w:left="4320" w:hanging="360"/>
      </w:pPr>
      <w:rPr>
        <w:rFonts w:ascii="Arial" w:hAnsi="Arial" w:hint="default"/>
      </w:rPr>
    </w:lvl>
    <w:lvl w:ilvl="6" w:tplc="51D00DCC" w:tentative="1">
      <w:start w:val="1"/>
      <w:numFmt w:val="bullet"/>
      <w:lvlText w:val="•"/>
      <w:lvlJc w:val="left"/>
      <w:pPr>
        <w:tabs>
          <w:tab w:val="num" w:pos="5040"/>
        </w:tabs>
        <w:ind w:left="5040" w:hanging="360"/>
      </w:pPr>
      <w:rPr>
        <w:rFonts w:ascii="Arial" w:hAnsi="Arial" w:hint="default"/>
      </w:rPr>
    </w:lvl>
    <w:lvl w:ilvl="7" w:tplc="B1941ADC" w:tentative="1">
      <w:start w:val="1"/>
      <w:numFmt w:val="bullet"/>
      <w:lvlText w:val="•"/>
      <w:lvlJc w:val="left"/>
      <w:pPr>
        <w:tabs>
          <w:tab w:val="num" w:pos="5760"/>
        </w:tabs>
        <w:ind w:left="5760" w:hanging="360"/>
      </w:pPr>
      <w:rPr>
        <w:rFonts w:ascii="Arial" w:hAnsi="Arial" w:hint="default"/>
      </w:rPr>
    </w:lvl>
    <w:lvl w:ilvl="8" w:tplc="BA386B5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0"/>
  </w:num>
  <w:num w:numId="4">
    <w:abstractNumId w:val="3"/>
  </w:num>
  <w:num w:numId="5">
    <w:abstractNumId w:val="7"/>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8A"/>
    <w:rsid w:val="002461D6"/>
    <w:rsid w:val="008B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EC4B"/>
  <w15:chartTrackingRefBased/>
  <w15:docId w15:val="{DC13E7DF-6BBC-4473-B656-A67AA77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0585">
      <w:bodyDiv w:val="1"/>
      <w:marLeft w:val="0"/>
      <w:marRight w:val="0"/>
      <w:marTop w:val="0"/>
      <w:marBottom w:val="0"/>
      <w:divBdr>
        <w:top w:val="none" w:sz="0" w:space="0" w:color="auto"/>
        <w:left w:val="none" w:sz="0" w:space="0" w:color="auto"/>
        <w:bottom w:val="none" w:sz="0" w:space="0" w:color="auto"/>
        <w:right w:val="none" w:sz="0" w:space="0" w:color="auto"/>
      </w:divBdr>
    </w:div>
    <w:div w:id="213931046">
      <w:bodyDiv w:val="1"/>
      <w:marLeft w:val="0"/>
      <w:marRight w:val="0"/>
      <w:marTop w:val="0"/>
      <w:marBottom w:val="0"/>
      <w:divBdr>
        <w:top w:val="none" w:sz="0" w:space="0" w:color="auto"/>
        <w:left w:val="none" w:sz="0" w:space="0" w:color="auto"/>
        <w:bottom w:val="none" w:sz="0" w:space="0" w:color="auto"/>
        <w:right w:val="none" w:sz="0" w:space="0" w:color="auto"/>
      </w:divBdr>
      <w:divsChild>
        <w:div w:id="96413801">
          <w:marLeft w:val="274"/>
          <w:marRight w:val="0"/>
          <w:marTop w:val="0"/>
          <w:marBottom w:val="0"/>
          <w:divBdr>
            <w:top w:val="none" w:sz="0" w:space="0" w:color="auto"/>
            <w:left w:val="none" w:sz="0" w:space="0" w:color="auto"/>
            <w:bottom w:val="none" w:sz="0" w:space="0" w:color="auto"/>
            <w:right w:val="none" w:sz="0" w:space="0" w:color="auto"/>
          </w:divBdr>
        </w:div>
        <w:div w:id="1948808048">
          <w:marLeft w:val="274"/>
          <w:marRight w:val="0"/>
          <w:marTop w:val="0"/>
          <w:marBottom w:val="0"/>
          <w:divBdr>
            <w:top w:val="none" w:sz="0" w:space="0" w:color="auto"/>
            <w:left w:val="none" w:sz="0" w:space="0" w:color="auto"/>
            <w:bottom w:val="none" w:sz="0" w:space="0" w:color="auto"/>
            <w:right w:val="none" w:sz="0" w:space="0" w:color="auto"/>
          </w:divBdr>
        </w:div>
        <w:div w:id="2011835965">
          <w:marLeft w:val="274"/>
          <w:marRight w:val="0"/>
          <w:marTop w:val="0"/>
          <w:marBottom w:val="0"/>
          <w:divBdr>
            <w:top w:val="none" w:sz="0" w:space="0" w:color="auto"/>
            <w:left w:val="none" w:sz="0" w:space="0" w:color="auto"/>
            <w:bottom w:val="none" w:sz="0" w:space="0" w:color="auto"/>
            <w:right w:val="none" w:sz="0" w:space="0" w:color="auto"/>
          </w:divBdr>
        </w:div>
        <w:div w:id="250236416">
          <w:marLeft w:val="274"/>
          <w:marRight w:val="0"/>
          <w:marTop w:val="0"/>
          <w:marBottom w:val="0"/>
          <w:divBdr>
            <w:top w:val="none" w:sz="0" w:space="0" w:color="auto"/>
            <w:left w:val="none" w:sz="0" w:space="0" w:color="auto"/>
            <w:bottom w:val="none" w:sz="0" w:space="0" w:color="auto"/>
            <w:right w:val="none" w:sz="0" w:space="0" w:color="auto"/>
          </w:divBdr>
        </w:div>
        <w:div w:id="1452898293">
          <w:marLeft w:val="274"/>
          <w:marRight w:val="0"/>
          <w:marTop w:val="0"/>
          <w:marBottom w:val="0"/>
          <w:divBdr>
            <w:top w:val="none" w:sz="0" w:space="0" w:color="auto"/>
            <w:left w:val="none" w:sz="0" w:space="0" w:color="auto"/>
            <w:bottom w:val="none" w:sz="0" w:space="0" w:color="auto"/>
            <w:right w:val="none" w:sz="0" w:space="0" w:color="auto"/>
          </w:divBdr>
        </w:div>
      </w:divsChild>
    </w:div>
    <w:div w:id="255139236">
      <w:bodyDiv w:val="1"/>
      <w:marLeft w:val="0"/>
      <w:marRight w:val="0"/>
      <w:marTop w:val="0"/>
      <w:marBottom w:val="0"/>
      <w:divBdr>
        <w:top w:val="none" w:sz="0" w:space="0" w:color="auto"/>
        <w:left w:val="none" w:sz="0" w:space="0" w:color="auto"/>
        <w:bottom w:val="none" w:sz="0" w:space="0" w:color="auto"/>
        <w:right w:val="none" w:sz="0" w:space="0" w:color="auto"/>
      </w:divBdr>
    </w:div>
    <w:div w:id="278298518">
      <w:bodyDiv w:val="1"/>
      <w:marLeft w:val="0"/>
      <w:marRight w:val="0"/>
      <w:marTop w:val="0"/>
      <w:marBottom w:val="0"/>
      <w:divBdr>
        <w:top w:val="none" w:sz="0" w:space="0" w:color="auto"/>
        <w:left w:val="none" w:sz="0" w:space="0" w:color="auto"/>
        <w:bottom w:val="none" w:sz="0" w:space="0" w:color="auto"/>
        <w:right w:val="none" w:sz="0" w:space="0" w:color="auto"/>
      </w:divBdr>
    </w:div>
    <w:div w:id="331101928">
      <w:bodyDiv w:val="1"/>
      <w:marLeft w:val="0"/>
      <w:marRight w:val="0"/>
      <w:marTop w:val="0"/>
      <w:marBottom w:val="0"/>
      <w:divBdr>
        <w:top w:val="none" w:sz="0" w:space="0" w:color="auto"/>
        <w:left w:val="none" w:sz="0" w:space="0" w:color="auto"/>
        <w:bottom w:val="none" w:sz="0" w:space="0" w:color="auto"/>
        <w:right w:val="none" w:sz="0" w:space="0" w:color="auto"/>
      </w:divBdr>
      <w:divsChild>
        <w:div w:id="363485971">
          <w:marLeft w:val="274"/>
          <w:marRight w:val="0"/>
          <w:marTop w:val="0"/>
          <w:marBottom w:val="0"/>
          <w:divBdr>
            <w:top w:val="none" w:sz="0" w:space="0" w:color="auto"/>
            <w:left w:val="none" w:sz="0" w:space="0" w:color="auto"/>
            <w:bottom w:val="none" w:sz="0" w:space="0" w:color="auto"/>
            <w:right w:val="none" w:sz="0" w:space="0" w:color="auto"/>
          </w:divBdr>
        </w:div>
        <w:div w:id="799111081">
          <w:marLeft w:val="274"/>
          <w:marRight w:val="0"/>
          <w:marTop w:val="0"/>
          <w:marBottom w:val="0"/>
          <w:divBdr>
            <w:top w:val="none" w:sz="0" w:space="0" w:color="auto"/>
            <w:left w:val="none" w:sz="0" w:space="0" w:color="auto"/>
            <w:bottom w:val="none" w:sz="0" w:space="0" w:color="auto"/>
            <w:right w:val="none" w:sz="0" w:space="0" w:color="auto"/>
          </w:divBdr>
        </w:div>
        <w:div w:id="1005475320">
          <w:marLeft w:val="274"/>
          <w:marRight w:val="0"/>
          <w:marTop w:val="0"/>
          <w:marBottom w:val="0"/>
          <w:divBdr>
            <w:top w:val="none" w:sz="0" w:space="0" w:color="auto"/>
            <w:left w:val="none" w:sz="0" w:space="0" w:color="auto"/>
            <w:bottom w:val="none" w:sz="0" w:space="0" w:color="auto"/>
            <w:right w:val="none" w:sz="0" w:space="0" w:color="auto"/>
          </w:divBdr>
        </w:div>
        <w:div w:id="556820852">
          <w:marLeft w:val="274"/>
          <w:marRight w:val="0"/>
          <w:marTop w:val="0"/>
          <w:marBottom w:val="0"/>
          <w:divBdr>
            <w:top w:val="none" w:sz="0" w:space="0" w:color="auto"/>
            <w:left w:val="none" w:sz="0" w:space="0" w:color="auto"/>
            <w:bottom w:val="none" w:sz="0" w:space="0" w:color="auto"/>
            <w:right w:val="none" w:sz="0" w:space="0" w:color="auto"/>
          </w:divBdr>
        </w:div>
        <w:div w:id="1415273500">
          <w:marLeft w:val="274"/>
          <w:marRight w:val="0"/>
          <w:marTop w:val="0"/>
          <w:marBottom w:val="0"/>
          <w:divBdr>
            <w:top w:val="none" w:sz="0" w:space="0" w:color="auto"/>
            <w:left w:val="none" w:sz="0" w:space="0" w:color="auto"/>
            <w:bottom w:val="none" w:sz="0" w:space="0" w:color="auto"/>
            <w:right w:val="none" w:sz="0" w:space="0" w:color="auto"/>
          </w:divBdr>
        </w:div>
        <w:div w:id="365830908">
          <w:marLeft w:val="274"/>
          <w:marRight w:val="0"/>
          <w:marTop w:val="0"/>
          <w:marBottom w:val="0"/>
          <w:divBdr>
            <w:top w:val="none" w:sz="0" w:space="0" w:color="auto"/>
            <w:left w:val="none" w:sz="0" w:space="0" w:color="auto"/>
            <w:bottom w:val="none" w:sz="0" w:space="0" w:color="auto"/>
            <w:right w:val="none" w:sz="0" w:space="0" w:color="auto"/>
          </w:divBdr>
        </w:div>
        <w:div w:id="606155626">
          <w:marLeft w:val="274"/>
          <w:marRight w:val="0"/>
          <w:marTop w:val="0"/>
          <w:marBottom w:val="0"/>
          <w:divBdr>
            <w:top w:val="none" w:sz="0" w:space="0" w:color="auto"/>
            <w:left w:val="none" w:sz="0" w:space="0" w:color="auto"/>
            <w:bottom w:val="none" w:sz="0" w:space="0" w:color="auto"/>
            <w:right w:val="none" w:sz="0" w:space="0" w:color="auto"/>
          </w:divBdr>
        </w:div>
      </w:divsChild>
    </w:div>
    <w:div w:id="497306518">
      <w:bodyDiv w:val="1"/>
      <w:marLeft w:val="0"/>
      <w:marRight w:val="0"/>
      <w:marTop w:val="0"/>
      <w:marBottom w:val="0"/>
      <w:divBdr>
        <w:top w:val="none" w:sz="0" w:space="0" w:color="auto"/>
        <w:left w:val="none" w:sz="0" w:space="0" w:color="auto"/>
        <w:bottom w:val="none" w:sz="0" w:space="0" w:color="auto"/>
        <w:right w:val="none" w:sz="0" w:space="0" w:color="auto"/>
      </w:divBdr>
    </w:div>
    <w:div w:id="608701777">
      <w:bodyDiv w:val="1"/>
      <w:marLeft w:val="0"/>
      <w:marRight w:val="0"/>
      <w:marTop w:val="0"/>
      <w:marBottom w:val="0"/>
      <w:divBdr>
        <w:top w:val="none" w:sz="0" w:space="0" w:color="auto"/>
        <w:left w:val="none" w:sz="0" w:space="0" w:color="auto"/>
        <w:bottom w:val="none" w:sz="0" w:space="0" w:color="auto"/>
        <w:right w:val="none" w:sz="0" w:space="0" w:color="auto"/>
      </w:divBdr>
      <w:divsChild>
        <w:div w:id="610356731">
          <w:marLeft w:val="274"/>
          <w:marRight w:val="0"/>
          <w:marTop w:val="0"/>
          <w:marBottom w:val="0"/>
          <w:divBdr>
            <w:top w:val="none" w:sz="0" w:space="0" w:color="auto"/>
            <w:left w:val="none" w:sz="0" w:space="0" w:color="auto"/>
            <w:bottom w:val="none" w:sz="0" w:space="0" w:color="auto"/>
            <w:right w:val="none" w:sz="0" w:space="0" w:color="auto"/>
          </w:divBdr>
        </w:div>
        <w:div w:id="969743091">
          <w:marLeft w:val="274"/>
          <w:marRight w:val="0"/>
          <w:marTop w:val="0"/>
          <w:marBottom w:val="0"/>
          <w:divBdr>
            <w:top w:val="none" w:sz="0" w:space="0" w:color="auto"/>
            <w:left w:val="none" w:sz="0" w:space="0" w:color="auto"/>
            <w:bottom w:val="none" w:sz="0" w:space="0" w:color="auto"/>
            <w:right w:val="none" w:sz="0" w:space="0" w:color="auto"/>
          </w:divBdr>
        </w:div>
        <w:div w:id="830175060">
          <w:marLeft w:val="274"/>
          <w:marRight w:val="0"/>
          <w:marTop w:val="0"/>
          <w:marBottom w:val="0"/>
          <w:divBdr>
            <w:top w:val="none" w:sz="0" w:space="0" w:color="auto"/>
            <w:left w:val="none" w:sz="0" w:space="0" w:color="auto"/>
            <w:bottom w:val="none" w:sz="0" w:space="0" w:color="auto"/>
            <w:right w:val="none" w:sz="0" w:space="0" w:color="auto"/>
          </w:divBdr>
        </w:div>
        <w:div w:id="1533683998">
          <w:marLeft w:val="274"/>
          <w:marRight w:val="0"/>
          <w:marTop w:val="0"/>
          <w:marBottom w:val="0"/>
          <w:divBdr>
            <w:top w:val="none" w:sz="0" w:space="0" w:color="auto"/>
            <w:left w:val="none" w:sz="0" w:space="0" w:color="auto"/>
            <w:bottom w:val="none" w:sz="0" w:space="0" w:color="auto"/>
            <w:right w:val="none" w:sz="0" w:space="0" w:color="auto"/>
          </w:divBdr>
        </w:div>
        <w:div w:id="958953515">
          <w:marLeft w:val="274"/>
          <w:marRight w:val="0"/>
          <w:marTop w:val="0"/>
          <w:marBottom w:val="0"/>
          <w:divBdr>
            <w:top w:val="none" w:sz="0" w:space="0" w:color="auto"/>
            <w:left w:val="none" w:sz="0" w:space="0" w:color="auto"/>
            <w:bottom w:val="none" w:sz="0" w:space="0" w:color="auto"/>
            <w:right w:val="none" w:sz="0" w:space="0" w:color="auto"/>
          </w:divBdr>
        </w:div>
      </w:divsChild>
    </w:div>
    <w:div w:id="1008170505">
      <w:bodyDiv w:val="1"/>
      <w:marLeft w:val="0"/>
      <w:marRight w:val="0"/>
      <w:marTop w:val="0"/>
      <w:marBottom w:val="0"/>
      <w:divBdr>
        <w:top w:val="none" w:sz="0" w:space="0" w:color="auto"/>
        <w:left w:val="none" w:sz="0" w:space="0" w:color="auto"/>
        <w:bottom w:val="none" w:sz="0" w:space="0" w:color="auto"/>
        <w:right w:val="none" w:sz="0" w:space="0" w:color="auto"/>
      </w:divBdr>
    </w:div>
    <w:div w:id="1045445118">
      <w:bodyDiv w:val="1"/>
      <w:marLeft w:val="0"/>
      <w:marRight w:val="0"/>
      <w:marTop w:val="0"/>
      <w:marBottom w:val="0"/>
      <w:divBdr>
        <w:top w:val="none" w:sz="0" w:space="0" w:color="auto"/>
        <w:left w:val="none" w:sz="0" w:space="0" w:color="auto"/>
        <w:bottom w:val="none" w:sz="0" w:space="0" w:color="auto"/>
        <w:right w:val="none" w:sz="0" w:space="0" w:color="auto"/>
      </w:divBdr>
    </w:div>
    <w:div w:id="1202328538">
      <w:bodyDiv w:val="1"/>
      <w:marLeft w:val="0"/>
      <w:marRight w:val="0"/>
      <w:marTop w:val="0"/>
      <w:marBottom w:val="0"/>
      <w:divBdr>
        <w:top w:val="none" w:sz="0" w:space="0" w:color="auto"/>
        <w:left w:val="none" w:sz="0" w:space="0" w:color="auto"/>
        <w:bottom w:val="none" w:sz="0" w:space="0" w:color="auto"/>
        <w:right w:val="none" w:sz="0" w:space="0" w:color="auto"/>
      </w:divBdr>
      <w:divsChild>
        <w:div w:id="1044990154">
          <w:marLeft w:val="274"/>
          <w:marRight w:val="0"/>
          <w:marTop w:val="0"/>
          <w:marBottom w:val="0"/>
          <w:divBdr>
            <w:top w:val="none" w:sz="0" w:space="0" w:color="auto"/>
            <w:left w:val="none" w:sz="0" w:space="0" w:color="auto"/>
            <w:bottom w:val="none" w:sz="0" w:space="0" w:color="auto"/>
            <w:right w:val="none" w:sz="0" w:space="0" w:color="auto"/>
          </w:divBdr>
        </w:div>
        <w:div w:id="1461997946">
          <w:marLeft w:val="274"/>
          <w:marRight w:val="0"/>
          <w:marTop w:val="0"/>
          <w:marBottom w:val="0"/>
          <w:divBdr>
            <w:top w:val="none" w:sz="0" w:space="0" w:color="auto"/>
            <w:left w:val="none" w:sz="0" w:space="0" w:color="auto"/>
            <w:bottom w:val="none" w:sz="0" w:space="0" w:color="auto"/>
            <w:right w:val="none" w:sz="0" w:space="0" w:color="auto"/>
          </w:divBdr>
        </w:div>
      </w:divsChild>
    </w:div>
    <w:div w:id="1310867229">
      <w:bodyDiv w:val="1"/>
      <w:marLeft w:val="0"/>
      <w:marRight w:val="0"/>
      <w:marTop w:val="0"/>
      <w:marBottom w:val="0"/>
      <w:divBdr>
        <w:top w:val="none" w:sz="0" w:space="0" w:color="auto"/>
        <w:left w:val="none" w:sz="0" w:space="0" w:color="auto"/>
        <w:bottom w:val="none" w:sz="0" w:space="0" w:color="auto"/>
        <w:right w:val="none" w:sz="0" w:space="0" w:color="auto"/>
      </w:divBdr>
      <w:divsChild>
        <w:div w:id="1501114623">
          <w:marLeft w:val="274"/>
          <w:marRight w:val="0"/>
          <w:marTop w:val="0"/>
          <w:marBottom w:val="0"/>
          <w:divBdr>
            <w:top w:val="none" w:sz="0" w:space="0" w:color="auto"/>
            <w:left w:val="none" w:sz="0" w:space="0" w:color="auto"/>
            <w:bottom w:val="none" w:sz="0" w:space="0" w:color="auto"/>
            <w:right w:val="none" w:sz="0" w:space="0" w:color="auto"/>
          </w:divBdr>
        </w:div>
        <w:div w:id="1298874124">
          <w:marLeft w:val="274"/>
          <w:marRight w:val="0"/>
          <w:marTop w:val="0"/>
          <w:marBottom w:val="0"/>
          <w:divBdr>
            <w:top w:val="none" w:sz="0" w:space="0" w:color="auto"/>
            <w:left w:val="none" w:sz="0" w:space="0" w:color="auto"/>
            <w:bottom w:val="none" w:sz="0" w:space="0" w:color="auto"/>
            <w:right w:val="none" w:sz="0" w:space="0" w:color="auto"/>
          </w:divBdr>
        </w:div>
      </w:divsChild>
    </w:div>
    <w:div w:id="1620261878">
      <w:bodyDiv w:val="1"/>
      <w:marLeft w:val="0"/>
      <w:marRight w:val="0"/>
      <w:marTop w:val="0"/>
      <w:marBottom w:val="0"/>
      <w:divBdr>
        <w:top w:val="none" w:sz="0" w:space="0" w:color="auto"/>
        <w:left w:val="none" w:sz="0" w:space="0" w:color="auto"/>
        <w:bottom w:val="none" w:sz="0" w:space="0" w:color="auto"/>
        <w:right w:val="none" w:sz="0" w:space="0" w:color="auto"/>
      </w:divBdr>
    </w:div>
    <w:div w:id="1781562865">
      <w:bodyDiv w:val="1"/>
      <w:marLeft w:val="0"/>
      <w:marRight w:val="0"/>
      <w:marTop w:val="0"/>
      <w:marBottom w:val="0"/>
      <w:divBdr>
        <w:top w:val="none" w:sz="0" w:space="0" w:color="auto"/>
        <w:left w:val="none" w:sz="0" w:space="0" w:color="auto"/>
        <w:bottom w:val="none" w:sz="0" w:space="0" w:color="auto"/>
        <w:right w:val="none" w:sz="0" w:space="0" w:color="auto"/>
      </w:divBdr>
      <w:divsChild>
        <w:div w:id="1047027941">
          <w:marLeft w:val="360"/>
          <w:marRight w:val="0"/>
          <w:marTop w:val="0"/>
          <w:marBottom w:val="0"/>
          <w:divBdr>
            <w:top w:val="none" w:sz="0" w:space="0" w:color="auto"/>
            <w:left w:val="none" w:sz="0" w:space="0" w:color="auto"/>
            <w:bottom w:val="none" w:sz="0" w:space="0" w:color="auto"/>
            <w:right w:val="none" w:sz="0" w:space="0" w:color="auto"/>
          </w:divBdr>
        </w:div>
        <w:div w:id="155533292">
          <w:marLeft w:val="360"/>
          <w:marRight w:val="0"/>
          <w:marTop w:val="0"/>
          <w:marBottom w:val="0"/>
          <w:divBdr>
            <w:top w:val="none" w:sz="0" w:space="0" w:color="auto"/>
            <w:left w:val="none" w:sz="0" w:space="0" w:color="auto"/>
            <w:bottom w:val="none" w:sz="0" w:space="0" w:color="auto"/>
            <w:right w:val="none" w:sz="0" w:space="0" w:color="auto"/>
          </w:divBdr>
        </w:div>
        <w:div w:id="1399355610">
          <w:marLeft w:val="360"/>
          <w:marRight w:val="0"/>
          <w:marTop w:val="0"/>
          <w:marBottom w:val="0"/>
          <w:divBdr>
            <w:top w:val="none" w:sz="0" w:space="0" w:color="auto"/>
            <w:left w:val="none" w:sz="0" w:space="0" w:color="auto"/>
            <w:bottom w:val="none" w:sz="0" w:space="0" w:color="auto"/>
            <w:right w:val="none" w:sz="0" w:space="0" w:color="auto"/>
          </w:divBdr>
        </w:div>
      </w:divsChild>
    </w:div>
    <w:div w:id="1892039760">
      <w:bodyDiv w:val="1"/>
      <w:marLeft w:val="0"/>
      <w:marRight w:val="0"/>
      <w:marTop w:val="0"/>
      <w:marBottom w:val="0"/>
      <w:divBdr>
        <w:top w:val="none" w:sz="0" w:space="0" w:color="auto"/>
        <w:left w:val="none" w:sz="0" w:space="0" w:color="auto"/>
        <w:bottom w:val="none" w:sz="0" w:space="0" w:color="auto"/>
        <w:right w:val="none" w:sz="0" w:space="0" w:color="auto"/>
      </w:divBdr>
      <w:divsChild>
        <w:div w:id="694231849">
          <w:marLeft w:val="274"/>
          <w:marRight w:val="0"/>
          <w:marTop w:val="0"/>
          <w:marBottom w:val="0"/>
          <w:divBdr>
            <w:top w:val="none" w:sz="0" w:space="0" w:color="auto"/>
            <w:left w:val="none" w:sz="0" w:space="0" w:color="auto"/>
            <w:bottom w:val="none" w:sz="0" w:space="0" w:color="auto"/>
            <w:right w:val="none" w:sz="0" w:space="0" w:color="auto"/>
          </w:divBdr>
        </w:div>
        <w:div w:id="828863701">
          <w:marLeft w:val="274"/>
          <w:marRight w:val="0"/>
          <w:marTop w:val="0"/>
          <w:marBottom w:val="0"/>
          <w:divBdr>
            <w:top w:val="none" w:sz="0" w:space="0" w:color="auto"/>
            <w:left w:val="none" w:sz="0" w:space="0" w:color="auto"/>
            <w:bottom w:val="none" w:sz="0" w:space="0" w:color="auto"/>
            <w:right w:val="none" w:sz="0" w:space="0" w:color="auto"/>
          </w:divBdr>
        </w:div>
        <w:div w:id="1042362482">
          <w:marLeft w:val="274"/>
          <w:marRight w:val="0"/>
          <w:marTop w:val="0"/>
          <w:marBottom w:val="0"/>
          <w:divBdr>
            <w:top w:val="none" w:sz="0" w:space="0" w:color="auto"/>
            <w:left w:val="none" w:sz="0" w:space="0" w:color="auto"/>
            <w:bottom w:val="none" w:sz="0" w:space="0" w:color="auto"/>
            <w:right w:val="none" w:sz="0" w:space="0" w:color="auto"/>
          </w:divBdr>
        </w:div>
        <w:div w:id="1445155428">
          <w:marLeft w:val="274"/>
          <w:marRight w:val="0"/>
          <w:marTop w:val="0"/>
          <w:marBottom w:val="0"/>
          <w:divBdr>
            <w:top w:val="none" w:sz="0" w:space="0" w:color="auto"/>
            <w:left w:val="none" w:sz="0" w:space="0" w:color="auto"/>
            <w:bottom w:val="none" w:sz="0" w:space="0" w:color="auto"/>
            <w:right w:val="none" w:sz="0" w:space="0" w:color="auto"/>
          </w:divBdr>
        </w:div>
      </w:divsChild>
    </w:div>
    <w:div w:id="1991664978">
      <w:bodyDiv w:val="1"/>
      <w:marLeft w:val="0"/>
      <w:marRight w:val="0"/>
      <w:marTop w:val="0"/>
      <w:marBottom w:val="0"/>
      <w:divBdr>
        <w:top w:val="none" w:sz="0" w:space="0" w:color="auto"/>
        <w:left w:val="none" w:sz="0" w:space="0" w:color="auto"/>
        <w:bottom w:val="none" w:sz="0" w:space="0" w:color="auto"/>
        <w:right w:val="none" w:sz="0" w:space="0" w:color="auto"/>
      </w:divBdr>
    </w:div>
    <w:div w:id="2022659456">
      <w:bodyDiv w:val="1"/>
      <w:marLeft w:val="0"/>
      <w:marRight w:val="0"/>
      <w:marTop w:val="0"/>
      <w:marBottom w:val="0"/>
      <w:divBdr>
        <w:top w:val="none" w:sz="0" w:space="0" w:color="auto"/>
        <w:left w:val="none" w:sz="0" w:space="0" w:color="auto"/>
        <w:bottom w:val="none" w:sz="0" w:space="0" w:color="auto"/>
        <w:right w:val="none" w:sz="0" w:space="0" w:color="auto"/>
      </w:divBdr>
      <w:divsChild>
        <w:div w:id="14770929">
          <w:marLeft w:val="274"/>
          <w:marRight w:val="0"/>
          <w:marTop w:val="0"/>
          <w:marBottom w:val="0"/>
          <w:divBdr>
            <w:top w:val="none" w:sz="0" w:space="0" w:color="auto"/>
            <w:left w:val="none" w:sz="0" w:space="0" w:color="auto"/>
            <w:bottom w:val="none" w:sz="0" w:space="0" w:color="auto"/>
            <w:right w:val="none" w:sz="0" w:space="0" w:color="auto"/>
          </w:divBdr>
        </w:div>
        <w:div w:id="1742750062">
          <w:marLeft w:val="274"/>
          <w:marRight w:val="0"/>
          <w:marTop w:val="0"/>
          <w:marBottom w:val="0"/>
          <w:divBdr>
            <w:top w:val="none" w:sz="0" w:space="0" w:color="auto"/>
            <w:left w:val="none" w:sz="0" w:space="0" w:color="auto"/>
            <w:bottom w:val="none" w:sz="0" w:space="0" w:color="auto"/>
            <w:right w:val="none" w:sz="0" w:space="0" w:color="auto"/>
          </w:divBdr>
        </w:div>
        <w:div w:id="148119519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2989</Words>
  <Characters>17041</Characters>
  <Application>Microsoft Office Word</Application>
  <DocSecurity>0</DocSecurity>
  <Lines>142</Lines>
  <Paragraphs>39</Paragraphs>
  <ScaleCrop>false</ScaleCrop>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McCarver</dc:creator>
  <cp:keywords/>
  <dc:description/>
  <cp:lastModifiedBy>Crystal McCarver</cp:lastModifiedBy>
  <cp:revision>1</cp:revision>
  <dcterms:created xsi:type="dcterms:W3CDTF">2020-11-05T14:09:00Z</dcterms:created>
  <dcterms:modified xsi:type="dcterms:W3CDTF">2020-11-05T14:18:00Z</dcterms:modified>
</cp:coreProperties>
</file>