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E625" w14:textId="77777777" w:rsidR="008713A6" w:rsidRDefault="008713A6" w:rsidP="008713A6">
      <w:pPr>
        <w:jc w:val="center"/>
        <w:rPr>
          <w:rFonts w:ascii="PermianSlabSerifTypeface" w:hAnsi="PermianSlabSerifTypeface"/>
        </w:rPr>
      </w:pPr>
    </w:p>
    <w:p w14:paraId="281FC5E2" w14:textId="4BF41579" w:rsidR="00E47E8E" w:rsidRDefault="008713A6" w:rsidP="008713A6">
      <w:pPr>
        <w:jc w:val="center"/>
        <w:rPr>
          <w:rFonts w:ascii="PermianSlabSerifTypeface" w:hAnsi="PermianSlabSerifTypeface"/>
          <w:sz w:val="28"/>
          <w:szCs w:val="28"/>
        </w:rPr>
      </w:pPr>
      <w:r w:rsidRPr="008713A6">
        <w:rPr>
          <w:rFonts w:ascii="PermianSlabSerifTypeface" w:hAnsi="PermianSlabSerifTypeface"/>
          <w:sz w:val="28"/>
          <w:szCs w:val="28"/>
        </w:rPr>
        <w:t>Epidemiology and Laboratory Capacity (ELC) Grant</w:t>
      </w:r>
    </w:p>
    <w:p w14:paraId="6DE89048" w14:textId="34C938BD" w:rsidR="008713A6" w:rsidRDefault="008713A6" w:rsidP="008713A6">
      <w:pPr>
        <w:jc w:val="center"/>
        <w:rPr>
          <w:rFonts w:ascii="PermianSlabSerifTypeface" w:hAnsi="PermianSlabSerifTypeface"/>
          <w:sz w:val="28"/>
          <w:szCs w:val="28"/>
        </w:rPr>
      </w:pPr>
      <w:r>
        <w:rPr>
          <w:rFonts w:ascii="PermianSlabSerifTypeface" w:hAnsi="PermianSlabSerifTypeface"/>
          <w:sz w:val="28"/>
          <w:szCs w:val="28"/>
        </w:rPr>
        <w:t xml:space="preserve">Statewide Procurement </w:t>
      </w:r>
    </w:p>
    <w:p w14:paraId="6CAE8A83" w14:textId="77777777" w:rsidR="008713A6" w:rsidRDefault="008713A6" w:rsidP="008713A6">
      <w:pPr>
        <w:rPr>
          <w:rFonts w:cs="Open Sans"/>
          <w:sz w:val="22"/>
        </w:rPr>
      </w:pPr>
    </w:p>
    <w:p w14:paraId="0205719F" w14:textId="65EB3B56" w:rsidR="008713A6" w:rsidRPr="00C51C5C" w:rsidRDefault="008713A6" w:rsidP="00C51C5C">
      <w:pPr>
        <w:rPr>
          <w:rFonts w:cs="Open Sans"/>
          <w:sz w:val="22"/>
        </w:rPr>
      </w:pPr>
      <w:r w:rsidRPr="008713A6">
        <w:rPr>
          <w:rFonts w:cs="Open Sans"/>
          <w:sz w:val="22"/>
        </w:rPr>
        <w:t xml:space="preserve">To support testing, the </w:t>
      </w:r>
      <w:r>
        <w:rPr>
          <w:rFonts w:cs="Open Sans"/>
          <w:sz w:val="22"/>
        </w:rPr>
        <w:t xml:space="preserve">ELC </w:t>
      </w:r>
      <w:r w:rsidRPr="008713A6">
        <w:rPr>
          <w:rFonts w:cs="Open Sans"/>
          <w:sz w:val="22"/>
        </w:rPr>
        <w:t>application offer</w:t>
      </w:r>
      <w:r>
        <w:rPr>
          <w:rFonts w:cs="Open Sans"/>
          <w:sz w:val="22"/>
        </w:rPr>
        <w:t>s</w:t>
      </w:r>
      <w:r w:rsidRPr="008713A6">
        <w:rPr>
          <w:rFonts w:cs="Open Sans"/>
          <w:sz w:val="22"/>
        </w:rPr>
        <w:t xml:space="preserve"> two paths for procuring testing supplies—purchases from existing statewide procurements or local procurement from laboratory vendors. </w:t>
      </w:r>
      <w:r w:rsidRPr="00C51C5C">
        <w:rPr>
          <w:rFonts w:cs="Open Sans"/>
          <w:sz w:val="22"/>
        </w:rPr>
        <w:t xml:space="preserve">The statewide procurement route represents existing contracts from which localities can purchase, offering a quick implementation if leveraged. </w:t>
      </w:r>
    </w:p>
    <w:p w14:paraId="562DDFF5" w14:textId="0704C370" w:rsidR="008713A6" w:rsidRDefault="008713A6" w:rsidP="008713A6">
      <w:pPr>
        <w:rPr>
          <w:rFonts w:cs="Open Sans"/>
          <w:sz w:val="22"/>
        </w:rPr>
      </w:pPr>
    </w:p>
    <w:p w14:paraId="5CCA4CB8" w14:textId="3B0AF57A" w:rsidR="008713A6" w:rsidRDefault="008713A6" w:rsidP="008713A6">
      <w:pPr>
        <w:rPr>
          <w:rFonts w:cs="Open Sans"/>
          <w:b/>
          <w:bCs/>
          <w:sz w:val="22"/>
        </w:rPr>
      </w:pPr>
      <w:r w:rsidRPr="008713A6">
        <w:rPr>
          <w:rFonts w:cs="Open Sans"/>
          <w:b/>
          <w:bCs/>
          <w:sz w:val="22"/>
        </w:rPr>
        <w:t>Statewide procurement options:</w:t>
      </w:r>
    </w:p>
    <w:p w14:paraId="2E781560" w14:textId="4FD8C55D" w:rsidR="00FC7F4F" w:rsidRDefault="00FC7F4F" w:rsidP="008713A6">
      <w:pPr>
        <w:rPr>
          <w:rFonts w:cs="Open Sans"/>
          <w:b/>
          <w:bCs/>
          <w:sz w:val="22"/>
        </w:rPr>
      </w:pPr>
    </w:p>
    <w:p w14:paraId="21EF4E18" w14:textId="77777777" w:rsidR="00FC7F4F" w:rsidRPr="002F724B" w:rsidRDefault="00FC7F4F" w:rsidP="00FC7F4F">
      <w:pPr>
        <w:pStyle w:val="ListParagraph"/>
        <w:widowControl/>
        <w:numPr>
          <w:ilvl w:val="0"/>
          <w:numId w:val="10"/>
        </w:numPr>
        <w:spacing w:after="200" w:line="276" w:lineRule="auto"/>
        <w:contextualSpacing/>
        <w:rPr>
          <w:b/>
          <w:bCs/>
        </w:rPr>
      </w:pPr>
      <w:r w:rsidRPr="002F724B">
        <w:rPr>
          <w:b/>
          <w:bCs/>
        </w:rPr>
        <w:t>SWC 532 Clinical Laboratory Services</w:t>
      </w:r>
    </w:p>
    <w:p w14:paraId="7493B646" w14:textId="77777777" w:rsidR="00FC7F4F" w:rsidRDefault="00FC7F4F" w:rsidP="00FC7F4F">
      <w:pPr>
        <w:pStyle w:val="ListParagraph"/>
        <w:ind w:left="360"/>
      </w:pPr>
      <w:r w:rsidRPr="009E3575">
        <w:rPr>
          <w:u w:val="single"/>
        </w:rPr>
        <w:t>Supplier</w:t>
      </w:r>
      <w:r>
        <w:t xml:space="preserve">: </w:t>
      </w:r>
      <w:r w:rsidRPr="002F724B">
        <w:t xml:space="preserve">Memphis </w:t>
      </w:r>
      <w:r w:rsidRPr="00C832D0">
        <w:t>Pathology Laboratory</w:t>
      </w:r>
      <w:r>
        <w:t xml:space="preserve"> </w:t>
      </w:r>
      <w:r w:rsidRPr="00F57662">
        <w:t>dba American Esoteric Laboratories (AEL)</w:t>
      </w:r>
    </w:p>
    <w:p w14:paraId="61C4872D" w14:textId="11140BF9" w:rsidR="00FC7F4F" w:rsidRDefault="00FC7F4F" w:rsidP="00FC7F4F">
      <w:pPr>
        <w:pStyle w:val="ListParagraph"/>
        <w:ind w:left="360"/>
      </w:pPr>
      <w:r w:rsidRPr="009E3575">
        <w:rPr>
          <w:u w:val="single"/>
        </w:rPr>
        <w:t>TN Contract #</w:t>
      </w:r>
      <w:r>
        <w:t xml:space="preserve">: </w:t>
      </w:r>
      <w:r w:rsidR="007D7DAC">
        <w:t>71521</w:t>
      </w:r>
    </w:p>
    <w:p w14:paraId="4B82AAFB" w14:textId="299B0D5A" w:rsidR="00FC7F4F" w:rsidRDefault="00FC7F4F" w:rsidP="00FC7F4F">
      <w:pPr>
        <w:pStyle w:val="ListParagraph"/>
        <w:ind w:left="360"/>
      </w:pPr>
      <w:r w:rsidRPr="009E3575">
        <w:rPr>
          <w:u w:val="single"/>
        </w:rPr>
        <w:t>Current Contract Dates</w:t>
      </w:r>
      <w:r>
        <w:t xml:space="preserve">: </w:t>
      </w:r>
      <w:r w:rsidR="007D7DAC">
        <w:t>8</w:t>
      </w:r>
      <w:r>
        <w:t>/1/20</w:t>
      </w:r>
      <w:r w:rsidR="007D7DAC">
        <w:t>21</w:t>
      </w:r>
      <w:r>
        <w:t xml:space="preserve"> to </w:t>
      </w:r>
      <w:r w:rsidR="007D7DAC">
        <w:t>7</w:t>
      </w:r>
      <w:r>
        <w:t>/</w:t>
      </w:r>
      <w:r w:rsidR="007D7DAC">
        <w:t>31</w:t>
      </w:r>
      <w:r>
        <w:t>/202</w:t>
      </w:r>
      <w:r w:rsidR="007D7DAC">
        <w:t>6</w:t>
      </w:r>
    </w:p>
    <w:p w14:paraId="6EE62CA8" w14:textId="77777777" w:rsidR="00FC7F4F" w:rsidRDefault="00FC7F4F" w:rsidP="00FC7F4F">
      <w:pPr>
        <w:pStyle w:val="ListParagraph"/>
        <w:ind w:left="360"/>
      </w:pPr>
      <w:r w:rsidRPr="009E3575">
        <w:rPr>
          <w:u w:val="single"/>
        </w:rPr>
        <w:t>Scope</w:t>
      </w:r>
      <w:r>
        <w:t>: testing kit (COVID PCR), courier specimen pick-up; lab testing of specimen &amp; reports results; school is responsible for specimen collection</w:t>
      </w:r>
    </w:p>
    <w:p w14:paraId="0F4C2232" w14:textId="77777777" w:rsidR="00FC7F4F" w:rsidRDefault="00FC7F4F" w:rsidP="00FC7F4F">
      <w:pPr>
        <w:pStyle w:val="ListParagraph"/>
        <w:ind w:left="360"/>
      </w:pPr>
      <w:r>
        <w:rPr>
          <w:u w:val="single"/>
        </w:rPr>
        <w:t>Pricing Note</w:t>
      </w:r>
      <w:r w:rsidRPr="00F57662">
        <w:t>:</w:t>
      </w:r>
      <w:r>
        <w:t xml:space="preserve"> $70/each; pooled testing for school surveillance offered at 5 for $75 if positive rate is at/below 2%</w:t>
      </w:r>
    </w:p>
    <w:p w14:paraId="76C880B2" w14:textId="77777777" w:rsidR="00FC7F4F" w:rsidRDefault="00FC7F4F" w:rsidP="00FC7F4F">
      <w:pPr>
        <w:pStyle w:val="ListParagraph"/>
        <w:ind w:left="360"/>
      </w:pPr>
      <w:r>
        <w:t xml:space="preserve">Link to </w:t>
      </w:r>
      <w:hyperlink r:id="rId11" w:history="1">
        <w:r>
          <w:rPr>
            <w:rStyle w:val="Hyperlink"/>
          </w:rPr>
          <w:t>c</w:t>
        </w:r>
        <w:r w:rsidRPr="002F724B">
          <w:rPr>
            <w:rStyle w:val="Hyperlink"/>
          </w:rPr>
          <w:t>ontract documents on Supplier Portal</w:t>
        </w:r>
      </w:hyperlink>
      <w:r>
        <w:t xml:space="preserve"> (click document icon to view/download each file)</w:t>
      </w:r>
    </w:p>
    <w:p w14:paraId="04FE3723" w14:textId="77777777" w:rsidR="00FC7F4F" w:rsidRDefault="00FC7F4F" w:rsidP="00FC7F4F">
      <w:pPr>
        <w:pStyle w:val="ListParagraph"/>
        <w:ind w:left="360"/>
      </w:pPr>
      <w:r>
        <w:t xml:space="preserve">Link to </w:t>
      </w:r>
      <w:hyperlink r:id="rId12" w:history="1">
        <w:r w:rsidRPr="00C832D0">
          <w:rPr>
            <w:rStyle w:val="Hyperlink"/>
          </w:rPr>
          <w:t>Usage Instructions</w:t>
        </w:r>
      </w:hyperlink>
      <w:r w:rsidRPr="00C832D0">
        <w:t xml:space="preserve"> on</w:t>
      </w:r>
      <w:r>
        <w:t xml:space="preserve"> Website</w:t>
      </w:r>
    </w:p>
    <w:p w14:paraId="2795E09B" w14:textId="5575AEEB" w:rsidR="00FC7F4F" w:rsidRDefault="00FC7F4F" w:rsidP="00FC7F4F">
      <w:pPr>
        <w:pStyle w:val="ListParagraph"/>
        <w:ind w:left="360"/>
      </w:pPr>
      <w:r>
        <w:t xml:space="preserve">Attach </w:t>
      </w:r>
      <w:r w:rsidRPr="00071DFB">
        <w:t>Federal Funding Terms</w:t>
      </w:r>
      <w:r>
        <w:t xml:space="preserve"> Addendum with Purchase Order</w:t>
      </w:r>
      <w:r w:rsidR="00F83B4C">
        <w:t xml:space="preserve"> </w:t>
      </w:r>
      <w:hyperlink r:id="rId13" w:history="1">
        <w:r w:rsidR="00D16BB8">
          <w:rPr>
            <w:rStyle w:val="Hyperlink"/>
          </w:rPr>
          <w:t>PO Addendum Link</w:t>
        </w:r>
      </w:hyperlink>
      <w:r w:rsidR="00D16BB8">
        <w:t xml:space="preserve"> </w:t>
      </w:r>
    </w:p>
    <w:p w14:paraId="3BD65833" w14:textId="77777777" w:rsidR="00FC7F4F" w:rsidRDefault="00FC7F4F" w:rsidP="00FC7F4F">
      <w:pPr>
        <w:pStyle w:val="ListParagraph"/>
        <w:ind w:left="360"/>
      </w:pPr>
    </w:p>
    <w:p w14:paraId="290277B8" w14:textId="77777777" w:rsidR="00FC7F4F" w:rsidRDefault="00FC7F4F" w:rsidP="00FC7F4F">
      <w:pPr>
        <w:pStyle w:val="ListParagraph"/>
        <w:widowControl/>
        <w:numPr>
          <w:ilvl w:val="0"/>
          <w:numId w:val="10"/>
        </w:numPr>
        <w:spacing w:after="200" w:line="276" w:lineRule="auto"/>
        <w:contextualSpacing/>
        <w:rPr>
          <w:b/>
          <w:bCs/>
        </w:rPr>
      </w:pPr>
      <w:r w:rsidRPr="009E3575">
        <w:rPr>
          <w:b/>
          <w:bCs/>
        </w:rPr>
        <w:t xml:space="preserve">SWC 387 Managed Service Provider </w:t>
      </w:r>
    </w:p>
    <w:p w14:paraId="5EB7837E" w14:textId="51CC141B" w:rsidR="00FC7F4F" w:rsidRDefault="00FC7F4F" w:rsidP="00FC7F4F">
      <w:pPr>
        <w:pStyle w:val="ListParagraph"/>
        <w:ind w:left="360"/>
      </w:pPr>
      <w:r w:rsidRPr="003F371F">
        <w:rPr>
          <w:u w:val="single"/>
        </w:rPr>
        <w:t>Supplier</w:t>
      </w:r>
      <w:r>
        <w:t>: Guidesoft Inc. dba Knowledge</w:t>
      </w:r>
      <w:r w:rsidR="008D6DC4">
        <w:t xml:space="preserve"> </w:t>
      </w:r>
      <w:r>
        <w:t>Services</w:t>
      </w:r>
    </w:p>
    <w:p w14:paraId="413C54B6" w14:textId="77777777" w:rsidR="00FC7F4F" w:rsidRDefault="00FC7F4F" w:rsidP="00FC7F4F">
      <w:pPr>
        <w:pStyle w:val="ListParagraph"/>
        <w:ind w:left="360"/>
      </w:pPr>
      <w:r w:rsidRPr="003F371F">
        <w:rPr>
          <w:u w:val="single"/>
        </w:rPr>
        <w:t>TN Contract #</w:t>
      </w:r>
      <w:r>
        <w:t>: 37896</w:t>
      </w:r>
    </w:p>
    <w:p w14:paraId="428A9F16" w14:textId="2D58645A" w:rsidR="00FC7F4F" w:rsidRPr="009E3575" w:rsidRDefault="00FC7F4F" w:rsidP="00FC7F4F">
      <w:pPr>
        <w:pStyle w:val="ListParagraph"/>
        <w:ind w:left="360"/>
        <w:rPr>
          <w:b/>
          <w:bCs/>
        </w:rPr>
      </w:pPr>
      <w:r w:rsidRPr="003F371F">
        <w:rPr>
          <w:u w:val="single"/>
        </w:rPr>
        <w:t>Current Contract Dates</w:t>
      </w:r>
      <w:r>
        <w:t xml:space="preserve">: 8/1/2013 to </w:t>
      </w:r>
      <w:proofErr w:type="gramStart"/>
      <w:r w:rsidR="008D6DC4">
        <w:t>7</w:t>
      </w:r>
      <w:r>
        <w:t>/31/2022</w:t>
      </w:r>
      <w:r w:rsidR="000279E2">
        <w:t>;</w:t>
      </w:r>
      <w:proofErr w:type="gramEnd"/>
      <w:r w:rsidR="000279E2">
        <w:t xml:space="preserve"> </w:t>
      </w:r>
    </w:p>
    <w:p w14:paraId="5B05E815" w14:textId="438E9ADB" w:rsidR="00FC7F4F" w:rsidRDefault="00FC7F4F" w:rsidP="00FC7F4F">
      <w:pPr>
        <w:pStyle w:val="ListParagraph"/>
        <w:ind w:left="360"/>
      </w:pPr>
      <w:r w:rsidRPr="003F371F">
        <w:rPr>
          <w:u w:val="single"/>
        </w:rPr>
        <w:t>Scope</w:t>
      </w:r>
      <w:r>
        <w:t>: temporary staffing for medical and administrative positions per not to exceed hourly rate card</w:t>
      </w:r>
    </w:p>
    <w:p w14:paraId="50D7ABA2" w14:textId="0FFD76C8" w:rsidR="008D6DC4" w:rsidRPr="008D6DC4" w:rsidRDefault="008D6DC4" w:rsidP="00FC7F4F">
      <w:pPr>
        <w:pStyle w:val="ListParagraph"/>
        <w:ind w:left="360"/>
      </w:pPr>
      <w:r>
        <w:t xml:space="preserve">Contract is currently being transitioned to a new supplier – uWork.com </w:t>
      </w:r>
      <w:proofErr w:type="spellStart"/>
      <w:r>
        <w:t>inc</w:t>
      </w:r>
      <w:proofErr w:type="spellEnd"/>
      <w:r>
        <w:t xml:space="preserve"> dba Covendis Technologies. CPO will send out updates once more information on when requests should start being submitted to Covendis. </w:t>
      </w:r>
    </w:p>
    <w:p w14:paraId="0CA54659" w14:textId="77777777" w:rsidR="00FC7F4F" w:rsidRDefault="00FC7F4F" w:rsidP="00FC7F4F">
      <w:pPr>
        <w:pStyle w:val="ListParagraph"/>
        <w:ind w:left="360"/>
      </w:pPr>
      <w:r>
        <w:t xml:space="preserve">Link to </w:t>
      </w:r>
      <w:hyperlink r:id="rId14" w:history="1">
        <w:r w:rsidRPr="00960F5A">
          <w:rPr>
            <w:rStyle w:val="Hyperlink"/>
          </w:rPr>
          <w:t>contract documents on Supplier Portal</w:t>
        </w:r>
      </w:hyperlink>
      <w:r>
        <w:t xml:space="preserve"> (click document icon to view/download each file)</w:t>
      </w:r>
    </w:p>
    <w:p w14:paraId="3B887A35" w14:textId="77777777" w:rsidR="00FC7F4F" w:rsidRDefault="00FC7F4F" w:rsidP="00FC7F4F">
      <w:pPr>
        <w:pStyle w:val="ListParagraph"/>
        <w:ind w:left="360"/>
      </w:pPr>
      <w:r w:rsidRPr="00071DFB">
        <w:t xml:space="preserve">Link to </w:t>
      </w:r>
      <w:hyperlink r:id="rId15" w:history="1">
        <w:r w:rsidRPr="00071DFB">
          <w:rPr>
            <w:rStyle w:val="Hyperlink"/>
          </w:rPr>
          <w:t>Usage Instructions</w:t>
        </w:r>
      </w:hyperlink>
      <w:r w:rsidRPr="00071DFB">
        <w:t xml:space="preserve"> on</w:t>
      </w:r>
      <w:r>
        <w:t xml:space="preserve"> Website</w:t>
      </w:r>
    </w:p>
    <w:p w14:paraId="0BACADE8" w14:textId="6A08861A" w:rsidR="00FC7F4F" w:rsidRDefault="00D16BB8" w:rsidP="00FC7F4F">
      <w:pPr>
        <w:pStyle w:val="ListParagraph"/>
        <w:ind w:left="360"/>
      </w:pPr>
      <w:r>
        <w:t xml:space="preserve">Attach </w:t>
      </w:r>
      <w:r w:rsidRPr="00071DFB">
        <w:t>Federal Funding Terms</w:t>
      </w:r>
      <w:r>
        <w:t xml:space="preserve"> Addendum with Purchase Order </w:t>
      </w:r>
      <w:hyperlink r:id="rId16" w:history="1">
        <w:r>
          <w:rPr>
            <w:rStyle w:val="Hyperlink"/>
          </w:rPr>
          <w:t>PO Addendum Link</w:t>
        </w:r>
      </w:hyperlink>
    </w:p>
    <w:p w14:paraId="640D7CB8" w14:textId="77777777" w:rsidR="00D16BB8" w:rsidRDefault="00D16BB8" w:rsidP="00FC7F4F">
      <w:pPr>
        <w:pStyle w:val="ListParagraph"/>
        <w:ind w:left="360"/>
      </w:pPr>
    </w:p>
    <w:p w14:paraId="7A985134" w14:textId="77777777" w:rsidR="00FC7F4F" w:rsidRPr="009E3575" w:rsidRDefault="00FC7F4F" w:rsidP="00FC7F4F">
      <w:pPr>
        <w:pStyle w:val="ListParagraph"/>
        <w:widowControl/>
        <w:numPr>
          <w:ilvl w:val="0"/>
          <w:numId w:val="10"/>
        </w:numPr>
        <w:spacing w:after="200" w:line="276" w:lineRule="auto"/>
        <w:contextualSpacing/>
        <w:rPr>
          <w:b/>
          <w:bCs/>
        </w:rPr>
      </w:pPr>
      <w:r w:rsidRPr="009E3575">
        <w:rPr>
          <w:b/>
          <w:bCs/>
        </w:rPr>
        <w:t>S</w:t>
      </w:r>
      <w:r>
        <w:rPr>
          <w:b/>
          <w:bCs/>
        </w:rPr>
        <w:t>WC</w:t>
      </w:r>
      <w:r w:rsidRPr="009E3575">
        <w:rPr>
          <w:b/>
          <w:bCs/>
        </w:rPr>
        <w:t xml:space="preserve"> for COVID Healthcare Staffing</w:t>
      </w:r>
      <w:r>
        <w:rPr>
          <w:b/>
          <w:bCs/>
        </w:rPr>
        <w:t xml:space="preserve"> Services</w:t>
      </w:r>
    </w:p>
    <w:p w14:paraId="4070335F" w14:textId="77777777" w:rsidR="00FC7F4F" w:rsidRDefault="00FC7F4F" w:rsidP="00FC7F4F">
      <w:pPr>
        <w:pStyle w:val="ListParagraph"/>
        <w:ind w:left="360"/>
      </w:pPr>
      <w:r w:rsidRPr="003F371F">
        <w:rPr>
          <w:u w:val="single"/>
        </w:rPr>
        <w:t>Supplier</w:t>
      </w:r>
      <w:r>
        <w:t>: Cross Country Staffing, Inc.</w:t>
      </w:r>
    </w:p>
    <w:p w14:paraId="2B6FAA8A" w14:textId="64E1BDAB" w:rsidR="00FC7F4F" w:rsidRDefault="00FC7F4F" w:rsidP="00FC7F4F">
      <w:pPr>
        <w:pStyle w:val="ListParagraph"/>
        <w:ind w:left="360"/>
      </w:pPr>
      <w:r w:rsidRPr="003F371F">
        <w:rPr>
          <w:u w:val="single"/>
        </w:rPr>
        <w:t>Current Contract Dates</w:t>
      </w:r>
      <w:r>
        <w:t xml:space="preserve">: 5/1/2020 to </w:t>
      </w:r>
      <w:r w:rsidR="008D6DC4">
        <w:t>6</w:t>
      </w:r>
      <w:r>
        <w:t>/3</w:t>
      </w:r>
      <w:r w:rsidR="008D6DC4">
        <w:t>0</w:t>
      </w:r>
      <w:r>
        <w:t>/202</w:t>
      </w:r>
      <w:r w:rsidR="008D6DC4">
        <w:t>2</w:t>
      </w:r>
    </w:p>
    <w:p w14:paraId="75EE409A" w14:textId="77777777" w:rsidR="00FC7F4F" w:rsidRDefault="00FC7F4F" w:rsidP="00FC7F4F">
      <w:pPr>
        <w:pStyle w:val="ListParagraph"/>
        <w:ind w:left="360"/>
      </w:pPr>
      <w:r w:rsidRPr="003F371F">
        <w:rPr>
          <w:u w:val="single"/>
        </w:rPr>
        <w:t>TN Contract #</w:t>
      </w:r>
      <w:r>
        <w:t>: 66349</w:t>
      </w:r>
    </w:p>
    <w:p w14:paraId="5031574B" w14:textId="77777777" w:rsidR="00FC7F4F" w:rsidRDefault="00FC7F4F" w:rsidP="00FC7F4F">
      <w:pPr>
        <w:pStyle w:val="ListParagraph"/>
        <w:ind w:left="360"/>
      </w:pPr>
      <w:r w:rsidRPr="003F371F">
        <w:rPr>
          <w:u w:val="single"/>
        </w:rPr>
        <w:t>Scope</w:t>
      </w:r>
      <w:r>
        <w:t>: temporary staffing for medical and administrative positions per contract hourly rates</w:t>
      </w:r>
    </w:p>
    <w:p w14:paraId="0FEEC21F" w14:textId="77777777" w:rsidR="00FC7F4F" w:rsidRDefault="00FC7F4F" w:rsidP="00FC7F4F">
      <w:pPr>
        <w:pStyle w:val="ListParagraph"/>
        <w:ind w:left="360"/>
      </w:pPr>
      <w:r>
        <w:t xml:space="preserve">Link to </w:t>
      </w:r>
      <w:hyperlink r:id="rId17" w:history="1">
        <w:r w:rsidRPr="003F371F">
          <w:rPr>
            <w:rStyle w:val="Hyperlink"/>
          </w:rPr>
          <w:t>contract documents</w:t>
        </w:r>
      </w:hyperlink>
      <w:r>
        <w:t xml:space="preserve"> (password to access is “COVID”)</w:t>
      </w:r>
    </w:p>
    <w:p w14:paraId="5599EBFD" w14:textId="66E08747" w:rsidR="00FC7F4F" w:rsidRDefault="00FC7F4F" w:rsidP="00FC7F4F">
      <w:pPr>
        <w:pStyle w:val="ListParagraph"/>
        <w:ind w:left="360"/>
      </w:pPr>
      <w:r>
        <w:t>Federal Funding Terms already included in contract</w:t>
      </w:r>
    </w:p>
    <w:p w14:paraId="4EB28FD3" w14:textId="18A2788B" w:rsidR="000766BA" w:rsidRDefault="000766BA" w:rsidP="00FC7F4F">
      <w:pPr>
        <w:pStyle w:val="ListParagraph"/>
        <w:ind w:left="360"/>
      </w:pPr>
      <w:r>
        <w:t xml:space="preserve">There are no plans to extend this contract past June 30, 2022. </w:t>
      </w:r>
    </w:p>
    <w:p w14:paraId="0CFF22C1" w14:textId="77777777" w:rsidR="00FC7F4F" w:rsidRDefault="00FC7F4F" w:rsidP="00FC7F4F">
      <w:pPr>
        <w:pStyle w:val="ListParagraph"/>
        <w:ind w:left="360"/>
      </w:pPr>
    </w:p>
    <w:p w14:paraId="140E95A0" w14:textId="1B6D6AA3" w:rsidR="00FC7F4F" w:rsidRPr="00FC7F4F" w:rsidRDefault="00FC7F4F" w:rsidP="00FC7F4F">
      <w:pPr>
        <w:pStyle w:val="ListParagraph"/>
        <w:numPr>
          <w:ilvl w:val="0"/>
          <w:numId w:val="10"/>
        </w:numPr>
        <w:rPr>
          <w:b/>
          <w:bCs/>
        </w:rPr>
      </w:pPr>
      <w:r w:rsidRPr="00FC7F4F">
        <w:rPr>
          <w:b/>
          <w:bCs/>
        </w:rPr>
        <w:t>SWC for MMCAP Contracts</w:t>
      </w:r>
    </w:p>
    <w:p w14:paraId="60D60EBD" w14:textId="3EE06E8F" w:rsidR="00FC7F4F" w:rsidRDefault="00FC7F4F" w:rsidP="00FC7F4F">
      <w:pPr>
        <w:ind w:firstLine="360"/>
      </w:pPr>
      <w:r>
        <w:lastRenderedPageBreak/>
        <w:t>Multiple contracts</w:t>
      </w:r>
      <w:r w:rsidR="00763238">
        <w:t xml:space="preserve"> with Suppliers that offer some of the same items a</w:t>
      </w:r>
      <w:r w:rsidR="000766BA">
        <w:t>t</w:t>
      </w:r>
      <w:r w:rsidR="00763238">
        <w:t xml:space="preserve"> varying cost  </w:t>
      </w:r>
    </w:p>
    <w:p w14:paraId="7E624B5C" w14:textId="0A2A720E" w:rsidR="00C44247" w:rsidRDefault="00C44247" w:rsidP="00FC7F4F">
      <w:pPr>
        <w:ind w:firstLine="360"/>
      </w:pPr>
      <w:r>
        <w:t xml:space="preserve">Create MMCAP ID </w:t>
      </w:r>
      <w:r w:rsidR="005C696F">
        <w:t>and account with whichever supplier is chosen.  (See Additional Note below).</w:t>
      </w:r>
    </w:p>
    <w:p w14:paraId="552AAF97" w14:textId="77777777" w:rsidR="000766BA" w:rsidRDefault="00E0377C" w:rsidP="00310712">
      <w:pPr>
        <w:ind w:left="360"/>
      </w:pPr>
      <w:r>
        <w:t xml:space="preserve">Scope:  </w:t>
      </w:r>
      <w:r w:rsidR="00FC7F4F">
        <w:t>Link to</w:t>
      </w:r>
      <w:r>
        <w:t xml:space="preserve"> find </w:t>
      </w:r>
      <w:r w:rsidR="00310712">
        <w:t xml:space="preserve">core MMCAP </w:t>
      </w:r>
      <w:r>
        <w:t>item</w:t>
      </w:r>
      <w:r w:rsidR="000766BA">
        <w:t>s</w:t>
      </w:r>
    </w:p>
    <w:p w14:paraId="2CD4C33C" w14:textId="77777777" w:rsidR="000766BA" w:rsidRDefault="000766BA" w:rsidP="00310712">
      <w:pPr>
        <w:ind w:left="360"/>
      </w:pPr>
    </w:p>
    <w:p w14:paraId="0E8EE95A" w14:textId="0263848B" w:rsidR="00FC7F4F" w:rsidRDefault="000766BA" w:rsidP="00310712">
      <w:pPr>
        <w:ind w:left="360"/>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object w:dxaOrig="1543" w:dyaOrig="995" w14:anchorId="2A290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Excel.Sheet.12" ShapeID="_x0000_i1025" DrawAspect="Icon" ObjectID="_1714899570" r:id="rId19"/>
        </w:object>
      </w:r>
      <w:r>
        <w:rPr>
          <w:rFonts w:ascii="Segoe UI" w:hAnsi="Segoe UI" w:cs="Segoe UI"/>
          <w:color w:val="000000"/>
          <w:sz w:val="24"/>
          <w:szCs w:val="24"/>
          <w:shd w:val="clear" w:color="auto" w:fill="FFFFFF"/>
        </w:rPr>
        <w:t xml:space="preserve"> </w:t>
      </w:r>
    </w:p>
    <w:p w14:paraId="2FF610EF" w14:textId="77777777" w:rsidR="000766BA" w:rsidRDefault="000766BA" w:rsidP="00310712">
      <w:pPr>
        <w:ind w:left="360"/>
      </w:pPr>
    </w:p>
    <w:p w14:paraId="5A68D7C7" w14:textId="5F147392" w:rsidR="00763238" w:rsidRDefault="00763238" w:rsidP="00E0377C">
      <w:pPr>
        <w:ind w:left="360"/>
      </w:pPr>
      <w:r w:rsidRPr="00310712">
        <w:t xml:space="preserve">MMCAP </w:t>
      </w:r>
      <w:r w:rsidR="00040A73">
        <w:t xml:space="preserve">is a catalog type contract and suppliers may </w:t>
      </w:r>
      <w:r w:rsidRPr="00310712">
        <w:t xml:space="preserve">provide non-core items in addition to the items on spreadsheet.  Reach out to the supplier’s contact for </w:t>
      </w:r>
      <w:r w:rsidR="00040A73">
        <w:t xml:space="preserve">a </w:t>
      </w:r>
      <w:r w:rsidRPr="00310712">
        <w:t>non-core item list.</w:t>
      </w:r>
    </w:p>
    <w:p w14:paraId="0488B039" w14:textId="77777777" w:rsidR="00763238" w:rsidRDefault="00763238" w:rsidP="00E0377C">
      <w:pPr>
        <w:ind w:left="360"/>
      </w:pPr>
    </w:p>
    <w:p w14:paraId="7799C3D2" w14:textId="4F005279" w:rsidR="00F83B4C" w:rsidRDefault="00F83B4C" w:rsidP="00E0377C">
      <w:pPr>
        <w:ind w:left="360"/>
      </w:pPr>
      <w:r>
        <w:t>Users should notate use of Federal Funds in the Purchase Order</w:t>
      </w:r>
    </w:p>
    <w:p w14:paraId="52994091" w14:textId="2B33A6FB" w:rsidR="00E0377C" w:rsidRDefault="00E0377C" w:rsidP="00E0377C">
      <w:pPr>
        <w:ind w:left="360"/>
      </w:pPr>
      <w:r>
        <w:t xml:space="preserve">Link to </w:t>
      </w:r>
      <w:r w:rsidRPr="00E0377C">
        <w:t>purchase off statewide contracts</w:t>
      </w:r>
      <w:r>
        <w:t xml:space="preserve">: </w:t>
      </w:r>
    </w:p>
    <w:p w14:paraId="777F7156" w14:textId="280C2AFA" w:rsidR="00E0377C" w:rsidRPr="00E0377C" w:rsidRDefault="00A878C4" w:rsidP="00E0377C">
      <w:pPr>
        <w:ind w:left="360"/>
      </w:pPr>
      <w:hyperlink r:id="rId20" w:history="1">
        <w:r w:rsidR="00E0377C" w:rsidRPr="0074083D">
          <w:rPr>
            <w:rStyle w:val="Hyperlink"/>
          </w:rPr>
          <w:t xml:space="preserve">https://www.tn.gov/generalservices/procurement/central-procurement-office--cpo-/tn-smart-shop.html   </w:t>
        </w:r>
      </w:hyperlink>
      <w:r w:rsidR="00E0377C">
        <w:t xml:space="preserve"> </w:t>
      </w:r>
    </w:p>
    <w:p w14:paraId="2D8EA2C0" w14:textId="77777777" w:rsidR="00E0377C" w:rsidRPr="00E0377C" w:rsidRDefault="00E0377C" w:rsidP="00E0377C">
      <w:pPr>
        <w:ind w:left="360"/>
      </w:pPr>
    </w:p>
    <w:p w14:paraId="6F2BEF9E" w14:textId="46AC097A" w:rsidR="00E0377C" w:rsidRPr="00E0377C" w:rsidRDefault="00E0377C" w:rsidP="00E0377C">
      <w:pPr>
        <w:ind w:left="360"/>
      </w:pPr>
      <w:r w:rsidRPr="00E0377C">
        <w:t xml:space="preserve">Each SWC supplier for medical supplies has a tile and the end user </w:t>
      </w:r>
      <w:r>
        <w:t xml:space="preserve">will </w:t>
      </w:r>
      <w:r w:rsidRPr="00E0377C">
        <w:t>click on the tile</w:t>
      </w:r>
      <w:r>
        <w:t xml:space="preserve">.  This will take you to a </w:t>
      </w:r>
      <w:r w:rsidRPr="00E0377C">
        <w:t>second page with usage instructions and another tile to go to the supplier</w:t>
      </w:r>
      <w:r>
        <w:t>’</w:t>
      </w:r>
      <w:r w:rsidRPr="00E0377C">
        <w:t>s website.</w:t>
      </w:r>
    </w:p>
    <w:p w14:paraId="4A18512F" w14:textId="180FDBAC" w:rsidR="00FC7F4F" w:rsidRPr="00E0377C" w:rsidRDefault="00FC7F4F" w:rsidP="008713A6"/>
    <w:p w14:paraId="61F0FA2A" w14:textId="0815DF78" w:rsidR="004B7887" w:rsidRPr="00040A73" w:rsidRDefault="00E0377C" w:rsidP="008713A6">
      <w:pPr>
        <w:rPr>
          <w:b/>
          <w:bCs/>
        </w:rPr>
      </w:pPr>
      <w:r>
        <w:rPr>
          <w:rFonts w:cs="Open Sans"/>
          <w:sz w:val="22"/>
        </w:rPr>
        <w:t xml:space="preserve">     </w:t>
      </w:r>
      <w:r w:rsidRPr="00040A73">
        <w:rPr>
          <w:rFonts w:cs="Open Sans"/>
          <w:b/>
          <w:bCs/>
          <w:sz w:val="22"/>
        </w:rPr>
        <w:t xml:space="preserve"> </w:t>
      </w:r>
      <w:r w:rsidRPr="00040A73">
        <w:rPr>
          <w:b/>
          <w:bCs/>
        </w:rPr>
        <w:t xml:space="preserve">Additional </w:t>
      </w:r>
      <w:r w:rsidR="005C696F" w:rsidRPr="00040A73">
        <w:rPr>
          <w:b/>
          <w:bCs/>
        </w:rPr>
        <w:t>Note</w:t>
      </w:r>
      <w:r w:rsidRPr="00040A73">
        <w:rPr>
          <w:b/>
          <w:bCs/>
        </w:rPr>
        <w:t>:</w:t>
      </w:r>
    </w:p>
    <w:p w14:paraId="01D33E1C" w14:textId="4133C36B" w:rsidR="005C696F" w:rsidRPr="008B1AE4" w:rsidRDefault="00E0377C" w:rsidP="000849CF">
      <w:pPr>
        <w:ind w:left="360"/>
      </w:pPr>
      <w:r w:rsidRPr="008B1AE4">
        <w:t xml:space="preserve">Each user of </w:t>
      </w:r>
      <w:r w:rsidR="005C696F" w:rsidRPr="008B1AE4">
        <w:t xml:space="preserve">a </w:t>
      </w:r>
      <w:r w:rsidRPr="008B1AE4">
        <w:t xml:space="preserve">MMCAP contract must have an MMCAP ID and an account with whichever supplier </w:t>
      </w:r>
      <w:r w:rsidR="008B1AE4" w:rsidRPr="008B1AE4">
        <w:t>is</w:t>
      </w:r>
      <w:r w:rsidRPr="008B1AE4">
        <w:t xml:space="preserve"> chose</w:t>
      </w:r>
      <w:r w:rsidR="008B1AE4" w:rsidRPr="008B1AE4">
        <w:t>n</w:t>
      </w:r>
      <w:r w:rsidRPr="008B1AE4">
        <w:t xml:space="preserve">. Some locations may already have an MMCAP </w:t>
      </w:r>
      <w:proofErr w:type="gramStart"/>
      <w:r w:rsidRPr="008B1AE4">
        <w:t>ID</w:t>
      </w:r>
      <w:proofErr w:type="gramEnd"/>
      <w:r w:rsidRPr="008B1AE4">
        <w:t xml:space="preserve"> but some may not. Th</w:t>
      </w:r>
      <w:r w:rsidR="005C696F" w:rsidRPr="008B1AE4">
        <w:t xml:space="preserve">is </w:t>
      </w:r>
      <w:r w:rsidRPr="008B1AE4">
        <w:t>process does not take long. The facility would need to fill out an MMCAP Infuse Membership Agreement</w:t>
      </w:r>
      <w:r w:rsidR="005C696F" w:rsidRPr="008B1AE4">
        <w:t>:  Link to</w:t>
      </w:r>
      <w:r w:rsidR="000849CF">
        <w:t xml:space="preserve"> </w:t>
      </w:r>
      <w:hyperlink r:id="rId21" w:history="1">
        <w:r w:rsidR="000849CF">
          <w:rPr>
            <w:rStyle w:val="Hyperlink"/>
          </w:rPr>
          <w:t>MMCAP Application</w:t>
        </w:r>
      </w:hyperlink>
      <w:r w:rsidR="000849CF">
        <w:t>.</w:t>
      </w:r>
    </w:p>
    <w:p w14:paraId="58ED831F" w14:textId="2ACC1A60" w:rsidR="005C696F" w:rsidRPr="008B1AE4" w:rsidRDefault="005C696F" w:rsidP="00E0377C">
      <w:pPr>
        <w:ind w:left="360"/>
      </w:pPr>
    </w:p>
    <w:p w14:paraId="2976AD0F" w14:textId="35EC80AC" w:rsidR="005C696F" w:rsidRPr="008B1AE4" w:rsidRDefault="005C696F" w:rsidP="005C696F">
      <w:pPr>
        <w:ind w:left="360"/>
      </w:pPr>
      <w:r w:rsidRPr="008B1AE4">
        <w:t>Send filled in form to Karen Conway of the Central Procurement Office who will then sign as the state contact.  CPO will send it to MMCAP Infuse Membership. Within a few days, the facility contacts listed on the membership agreement will receive a welcome email with their MMCAP Infuse ID and their account information.</w:t>
      </w:r>
    </w:p>
    <w:p w14:paraId="033EB877" w14:textId="4D111695" w:rsidR="005C696F" w:rsidRDefault="005C696F" w:rsidP="00E0377C">
      <w:pPr>
        <w:ind w:left="360"/>
        <w:rPr>
          <w:rFonts w:cs="Open Sans"/>
          <w:sz w:val="22"/>
        </w:rPr>
      </w:pPr>
    </w:p>
    <w:p w14:paraId="239C32A3" w14:textId="30B5912A" w:rsidR="005C696F" w:rsidRDefault="005C696F" w:rsidP="00E0377C">
      <w:pPr>
        <w:ind w:left="360"/>
        <w:rPr>
          <w:rFonts w:cs="Open Sans"/>
          <w:sz w:val="22"/>
        </w:rPr>
      </w:pPr>
      <w:r>
        <w:rPr>
          <w:rFonts w:cs="Open Sans"/>
          <w:sz w:val="22"/>
        </w:rPr>
        <w:t>MMCAP CPO contact:</w:t>
      </w:r>
    </w:p>
    <w:p w14:paraId="2B4FE8E3" w14:textId="14C5959C" w:rsidR="00AA5241" w:rsidRDefault="00AA5241" w:rsidP="00AA5241">
      <w:pPr>
        <w:rPr>
          <w:rFonts w:ascii="Calibri" w:hAnsi="Calibri"/>
        </w:rPr>
      </w:pPr>
    </w:p>
    <w:p w14:paraId="33A60BA1" w14:textId="77777777" w:rsidR="00AA5241" w:rsidRDefault="00AA5241" w:rsidP="00AA5241">
      <w:pPr>
        <w:ind w:left="360"/>
        <w:rPr>
          <w:rFonts w:ascii="Times New Roman" w:hAnsi="Times New Roman" w:cs="Times New Roman"/>
          <w:sz w:val="24"/>
          <w:szCs w:val="24"/>
        </w:rPr>
      </w:pPr>
      <w:r>
        <w:rPr>
          <w:rFonts w:cs="Open Sans"/>
          <w:b/>
          <w:bCs/>
          <w:color w:val="1F497D"/>
          <w:sz w:val="18"/>
          <w:szCs w:val="18"/>
        </w:rPr>
        <w:t>Josh Polk</w:t>
      </w:r>
      <w:r>
        <w:rPr>
          <w:rFonts w:ascii="Times New Roman" w:hAnsi="Times New Roman" w:cs="Times New Roman"/>
          <w:sz w:val="24"/>
          <w:szCs w:val="24"/>
        </w:rPr>
        <w:t xml:space="preserve"> </w:t>
      </w:r>
      <w:r>
        <w:rPr>
          <w:rFonts w:cs="Open Sans"/>
          <w:color w:val="000000"/>
          <w:spacing w:val="-2"/>
          <w:sz w:val="18"/>
          <w:szCs w:val="18"/>
        </w:rPr>
        <w:t>| Category Specialist</w:t>
      </w:r>
    </w:p>
    <w:p w14:paraId="0418FE0D" w14:textId="77777777" w:rsidR="00AA5241" w:rsidRDefault="00AA5241" w:rsidP="00AA5241">
      <w:pPr>
        <w:ind w:left="360"/>
        <w:rPr>
          <w:rFonts w:cs="Open Sans"/>
          <w:sz w:val="18"/>
          <w:szCs w:val="18"/>
        </w:rPr>
      </w:pPr>
      <w:r>
        <w:rPr>
          <w:rFonts w:cs="Open Sans"/>
          <w:sz w:val="18"/>
          <w:szCs w:val="18"/>
        </w:rPr>
        <w:t>Central Procurement Office</w:t>
      </w:r>
    </w:p>
    <w:p w14:paraId="4DD6F50A" w14:textId="77777777" w:rsidR="00AA5241" w:rsidRDefault="00AA5241" w:rsidP="00AA5241">
      <w:pPr>
        <w:ind w:left="360"/>
        <w:rPr>
          <w:rFonts w:ascii="Times New Roman" w:hAnsi="Times New Roman" w:cs="Times New Roman"/>
          <w:sz w:val="24"/>
          <w:szCs w:val="24"/>
        </w:rPr>
      </w:pPr>
      <w:r>
        <w:rPr>
          <w:rFonts w:cs="Open Sans"/>
          <w:sz w:val="18"/>
          <w:szCs w:val="18"/>
        </w:rPr>
        <w:t>Tennessee Tower, 3rd Floor</w:t>
      </w:r>
    </w:p>
    <w:p w14:paraId="4A8362F0" w14:textId="77777777" w:rsidR="00AA5241" w:rsidRDefault="00AA5241" w:rsidP="00AA5241">
      <w:pPr>
        <w:ind w:left="360"/>
        <w:rPr>
          <w:rFonts w:ascii="Times New Roman" w:hAnsi="Times New Roman" w:cs="Times New Roman"/>
          <w:sz w:val="24"/>
          <w:szCs w:val="24"/>
        </w:rPr>
      </w:pPr>
      <w:r>
        <w:rPr>
          <w:rFonts w:cs="Open Sans"/>
          <w:sz w:val="18"/>
          <w:szCs w:val="18"/>
        </w:rPr>
        <w:t>312 Rosa L. Parks Ave., Nashville, TN 37243</w:t>
      </w:r>
    </w:p>
    <w:p w14:paraId="2D777704" w14:textId="77777777" w:rsidR="00AA5241" w:rsidRDefault="00AA5241" w:rsidP="00AA5241">
      <w:pPr>
        <w:ind w:left="360"/>
        <w:rPr>
          <w:rFonts w:ascii="Times New Roman" w:hAnsi="Times New Roman" w:cs="Times New Roman"/>
          <w:sz w:val="24"/>
          <w:szCs w:val="24"/>
        </w:rPr>
      </w:pPr>
      <w:r>
        <w:rPr>
          <w:rFonts w:cs="Open Sans"/>
          <w:sz w:val="18"/>
          <w:szCs w:val="18"/>
        </w:rPr>
        <w:t>p. 615-360-4460</w:t>
      </w:r>
    </w:p>
    <w:p w14:paraId="5B1DA885" w14:textId="77777777" w:rsidR="00AA5241" w:rsidRDefault="00A878C4" w:rsidP="00AA5241">
      <w:pPr>
        <w:ind w:left="360"/>
        <w:rPr>
          <w:rFonts w:cs="Open Sans"/>
          <w:color w:val="0000FF"/>
          <w:sz w:val="18"/>
          <w:szCs w:val="18"/>
          <w:u w:val="single"/>
        </w:rPr>
      </w:pPr>
      <w:hyperlink r:id="rId22" w:history="1">
        <w:r w:rsidR="00AA5241">
          <w:rPr>
            <w:rStyle w:val="Hyperlink"/>
            <w:rFonts w:cs="Open Sans"/>
            <w:sz w:val="18"/>
            <w:szCs w:val="18"/>
          </w:rPr>
          <w:t>Joshua.Polk@tn.gov</w:t>
        </w:r>
      </w:hyperlink>
    </w:p>
    <w:p w14:paraId="20D0628F" w14:textId="338CAE04" w:rsidR="005C696F" w:rsidRDefault="005C696F" w:rsidP="005C2AEA">
      <w:pPr>
        <w:rPr>
          <w:rFonts w:cs="Open Sans"/>
          <w:sz w:val="22"/>
        </w:rPr>
      </w:pPr>
    </w:p>
    <w:p w14:paraId="1CE8A3C6" w14:textId="6FE67445" w:rsidR="002C0A6B" w:rsidRPr="00310712" w:rsidRDefault="002C0A6B">
      <w:r w:rsidRPr="00310712">
        <w:br w:type="page"/>
      </w:r>
    </w:p>
    <w:p w14:paraId="5D9D91C1" w14:textId="4416D89F" w:rsidR="002C0A6B" w:rsidRDefault="002C0A6B" w:rsidP="002C0A6B">
      <w:pPr>
        <w:rPr>
          <w:b/>
          <w:bCs/>
          <w:u w:val="single"/>
        </w:rPr>
      </w:pPr>
      <w:r>
        <w:rPr>
          <w:b/>
          <w:bCs/>
        </w:rPr>
        <w:lastRenderedPageBreak/>
        <w:t xml:space="preserve">IMPORTANT </w:t>
      </w:r>
      <w:r w:rsidRPr="00AC725A">
        <w:rPr>
          <w:b/>
          <w:bCs/>
        </w:rPr>
        <w:t>NOTE:</w:t>
      </w:r>
      <w:r>
        <w:rPr>
          <w:rFonts w:cs="Open Sans"/>
          <w:sz w:val="22"/>
        </w:rPr>
        <w:t xml:space="preserve"> </w:t>
      </w:r>
      <w:r w:rsidRPr="002C0A6B">
        <w:rPr>
          <w:b/>
          <w:bCs/>
          <w:u w:val="single"/>
        </w:rPr>
        <w:t xml:space="preserve">TEMA </w:t>
      </w:r>
      <w:r>
        <w:rPr>
          <w:b/>
          <w:bCs/>
          <w:u w:val="single"/>
        </w:rPr>
        <w:t xml:space="preserve">orders are </w:t>
      </w:r>
      <w:r w:rsidRPr="002C0A6B">
        <w:rPr>
          <w:b/>
          <w:bCs/>
          <w:u w:val="single"/>
        </w:rPr>
        <w:t xml:space="preserve">coming to an end soon and shouldn’t be a part of </w:t>
      </w:r>
      <w:r>
        <w:rPr>
          <w:b/>
          <w:bCs/>
          <w:u w:val="single"/>
        </w:rPr>
        <w:t xml:space="preserve">an </w:t>
      </w:r>
      <w:r w:rsidRPr="002C0A6B">
        <w:rPr>
          <w:b/>
          <w:bCs/>
          <w:u w:val="single"/>
        </w:rPr>
        <w:t>ELC grant proposal</w:t>
      </w:r>
      <w:r w:rsidRPr="002C0A6B">
        <w:rPr>
          <w:b/>
          <w:bCs/>
        </w:rPr>
        <w:t xml:space="preserve">.  </w:t>
      </w:r>
      <w:r w:rsidRPr="002C0A6B">
        <w:t xml:space="preserve"> Please note that there is a limited supply from the federal government and once the supply is gone it won’t be replenished. </w:t>
      </w:r>
      <w:r w:rsidR="00040A73">
        <w:t xml:space="preserve">ALSO </w:t>
      </w:r>
      <w:r w:rsidRPr="002C0A6B">
        <w:t xml:space="preserve">NOTE: The health department provided the waiver to TN DOE for the </w:t>
      </w:r>
      <w:proofErr w:type="spellStart"/>
      <w:r w:rsidRPr="002C0A6B">
        <w:t>Binax</w:t>
      </w:r>
      <w:proofErr w:type="spellEnd"/>
      <w:r w:rsidRPr="002C0A6B">
        <w:t xml:space="preserve"> tests from the federal government. This waiver will expire (it is currently unknown when it will expire).  At expiration, if the facility acquires a test that needs a CLIA waiver, the facility will be responsible for obtaining it.</w:t>
      </w:r>
    </w:p>
    <w:p w14:paraId="07605AA9" w14:textId="55BD1A38" w:rsidR="002C0A6B" w:rsidRDefault="002C0A6B" w:rsidP="002C0A6B">
      <w:pPr>
        <w:rPr>
          <w:b/>
          <w:bCs/>
          <w:u w:val="single"/>
        </w:rPr>
      </w:pPr>
    </w:p>
    <w:p w14:paraId="403E9D89" w14:textId="3D2E5614" w:rsidR="002C0A6B" w:rsidRPr="002C0A6B" w:rsidRDefault="002C0A6B" w:rsidP="002C0A6B">
      <w:pPr>
        <w:rPr>
          <w:rFonts w:cs="Open Sans"/>
          <w:b/>
          <w:bCs/>
          <w:sz w:val="22"/>
          <w:u w:val="single"/>
        </w:rPr>
      </w:pPr>
      <w:r>
        <w:rPr>
          <w:rFonts w:cs="Open Sans"/>
          <w:sz w:val="22"/>
        </w:rPr>
        <w:t xml:space="preserve">TEMA Abbott </w:t>
      </w:r>
      <w:proofErr w:type="spellStart"/>
      <w:r>
        <w:rPr>
          <w:rFonts w:cs="Open Sans"/>
          <w:sz w:val="22"/>
        </w:rPr>
        <w:t>Binax</w:t>
      </w:r>
      <w:proofErr w:type="spellEnd"/>
      <w:r>
        <w:rPr>
          <w:rFonts w:cs="Open Sans"/>
          <w:sz w:val="22"/>
        </w:rPr>
        <w:t xml:space="preserve"> Cards</w:t>
      </w:r>
    </w:p>
    <w:p w14:paraId="4FE2EF2A" w14:textId="3B811D6F" w:rsidR="00647274" w:rsidRPr="002C0A6B" w:rsidRDefault="00647274" w:rsidP="00055489">
      <w:pPr>
        <w:pStyle w:val="ListParagraph"/>
        <w:numPr>
          <w:ilvl w:val="0"/>
          <w:numId w:val="3"/>
        </w:numPr>
        <w:rPr>
          <w:rFonts w:cs="Open Sans"/>
          <w:sz w:val="22"/>
        </w:rPr>
      </w:pPr>
      <w:r w:rsidRPr="002C0A6B">
        <w:rPr>
          <w:rFonts w:cs="Open Sans"/>
          <w:sz w:val="22"/>
        </w:rPr>
        <w:t>T</w:t>
      </w:r>
      <w:r w:rsidR="00454B3F" w:rsidRPr="002C0A6B">
        <w:rPr>
          <w:rFonts w:cs="Open Sans"/>
          <w:sz w:val="22"/>
        </w:rPr>
        <w:t>EMA</w:t>
      </w:r>
      <w:r w:rsidR="00B34489" w:rsidRPr="002C0A6B">
        <w:rPr>
          <w:rFonts w:cs="Open Sans"/>
          <w:sz w:val="22"/>
        </w:rPr>
        <w:t xml:space="preserve"> </w:t>
      </w:r>
      <w:r w:rsidRPr="002C0A6B">
        <w:rPr>
          <w:rFonts w:cs="Open Sans"/>
          <w:sz w:val="22"/>
        </w:rPr>
        <w:t>has available first come first serve `</w:t>
      </w:r>
      <w:r w:rsidR="00B34489" w:rsidRPr="002C0A6B">
        <w:rPr>
          <w:rFonts w:cs="Open Sans"/>
          <w:sz w:val="22"/>
        </w:rPr>
        <w:t xml:space="preserve">250,000k </w:t>
      </w:r>
      <w:proofErr w:type="spellStart"/>
      <w:r w:rsidRPr="002C0A6B">
        <w:rPr>
          <w:rFonts w:cs="Open Sans"/>
          <w:sz w:val="22"/>
        </w:rPr>
        <w:t>Binax</w:t>
      </w:r>
      <w:proofErr w:type="spellEnd"/>
      <w:r w:rsidRPr="002C0A6B">
        <w:rPr>
          <w:rFonts w:cs="Open Sans"/>
          <w:sz w:val="22"/>
        </w:rPr>
        <w:t xml:space="preserve"> cards</w:t>
      </w:r>
      <w:r w:rsidR="007E2FC9" w:rsidRPr="002C0A6B">
        <w:rPr>
          <w:rFonts w:cs="Open Sans"/>
          <w:sz w:val="22"/>
        </w:rPr>
        <w:t xml:space="preserve">, </w:t>
      </w:r>
      <w:r w:rsidRPr="002C0A6B">
        <w:rPr>
          <w:rFonts w:cs="Open Sans"/>
          <w:sz w:val="22"/>
        </w:rPr>
        <w:t>expiring N</w:t>
      </w:r>
      <w:r w:rsidR="00B34489" w:rsidRPr="002C0A6B">
        <w:rPr>
          <w:rFonts w:cs="Open Sans"/>
          <w:sz w:val="22"/>
        </w:rPr>
        <w:t>ov and Dec 2021</w:t>
      </w:r>
    </w:p>
    <w:p w14:paraId="5FE1315B" w14:textId="77777777" w:rsidR="00AC725A" w:rsidRPr="00AC725A" w:rsidRDefault="00AC725A" w:rsidP="00AC725A">
      <w:pPr>
        <w:pStyle w:val="ListParagraph"/>
        <w:numPr>
          <w:ilvl w:val="0"/>
          <w:numId w:val="3"/>
        </w:numPr>
        <w:rPr>
          <w:rFonts w:cs="Open Sans"/>
          <w:sz w:val="22"/>
        </w:rPr>
      </w:pPr>
      <w:r w:rsidRPr="00AC725A">
        <w:rPr>
          <w:rFonts w:cs="Open Sans"/>
          <w:sz w:val="22"/>
        </w:rPr>
        <w:t xml:space="preserve">Directions for ordering </w:t>
      </w:r>
      <w:proofErr w:type="spellStart"/>
      <w:r w:rsidRPr="00AC725A">
        <w:rPr>
          <w:rFonts w:cs="Open Sans"/>
          <w:sz w:val="22"/>
        </w:rPr>
        <w:t>Binax</w:t>
      </w:r>
      <w:proofErr w:type="spellEnd"/>
      <w:r w:rsidRPr="00AC725A">
        <w:rPr>
          <w:rFonts w:cs="Open Sans"/>
          <w:sz w:val="22"/>
        </w:rPr>
        <w:t xml:space="preserve"> supplies, reporting, and obtaining a CLIA waiver:</w:t>
      </w:r>
    </w:p>
    <w:p w14:paraId="6641F42E" w14:textId="77777777" w:rsidR="00AC725A" w:rsidRDefault="00AC725A" w:rsidP="00AC725A">
      <w:pPr>
        <w:pStyle w:val="ListParagraph"/>
        <w:widowControl/>
        <w:numPr>
          <w:ilvl w:val="0"/>
          <w:numId w:val="11"/>
        </w:numPr>
        <w:contextualSpacing/>
        <w:rPr>
          <w:rFonts w:ascii="Calibri" w:eastAsia="Times New Roman" w:hAnsi="Calibri"/>
        </w:rPr>
      </w:pPr>
      <w:r>
        <w:rPr>
          <w:rFonts w:eastAsia="Times New Roman"/>
        </w:rPr>
        <w:t xml:space="preserve">Directions for ordering supplies: </w:t>
      </w:r>
      <w:hyperlink r:id="rId23" w:history="1">
        <w:r>
          <w:rPr>
            <w:rStyle w:val="Hyperlink"/>
            <w:rFonts w:eastAsia="Times New Roman"/>
          </w:rPr>
          <w:t>Ordering BinaxNOW Tests</w:t>
        </w:r>
      </w:hyperlink>
      <w:r>
        <w:rPr>
          <w:rFonts w:eastAsia="Times New Roman"/>
        </w:rPr>
        <w:t xml:space="preserve">        </w:t>
      </w:r>
    </w:p>
    <w:p w14:paraId="0B4179C8" w14:textId="77777777" w:rsidR="00AC725A" w:rsidRDefault="00AC725A" w:rsidP="00AC725A">
      <w:pPr>
        <w:pStyle w:val="ListParagraph"/>
        <w:widowControl/>
        <w:numPr>
          <w:ilvl w:val="0"/>
          <w:numId w:val="11"/>
        </w:numPr>
        <w:contextualSpacing/>
        <w:rPr>
          <w:rFonts w:eastAsia="Times New Roman"/>
        </w:rPr>
      </w:pPr>
      <w:r>
        <w:rPr>
          <w:rFonts w:eastAsia="Times New Roman"/>
        </w:rPr>
        <w:t xml:space="preserve">General guidance: </w:t>
      </w:r>
      <w:hyperlink r:id="rId24" w:history="1">
        <w:r>
          <w:rPr>
            <w:rStyle w:val="Hyperlink"/>
            <w:rFonts w:eastAsia="Times New Roman"/>
          </w:rPr>
          <w:t>General Guidance - Obtaining a CLIA Waiver</w:t>
        </w:r>
      </w:hyperlink>
      <w:r>
        <w:rPr>
          <w:rFonts w:eastAsia="Times New Roman"/>
        </w:rPr>
        <w:t xml:space="preserve">  </w:t>
      </w:r>
    </w:p>
    <w:p w14:paraId="69E9A4CD" w14:textId="77777777" w:rsidR="00AC725A" w:rsidRDefault="00AC725A" w:rsidP="00AC725A">
      <w:pPr>
        <w:pStyle w:val="ListParagraph"/>
        <w:widowControl/>
        <w:numPr>
          <w:ilvl w:val="0"/>
          <w:numId w:val="11"/>
        </w:numPr>
        <w:contextualSpacing/>
        <w:rPr>
          <w:rFonts w:eastAsia="Times New Roman"/>
        </w:rPr>
      </w:pPr>
      <w:r>
        <w:rPr>
          <w:rFonts w:eastAsia="Times New Roman"/>
        </w:rPr>
        <w:t xml:space="preserve">Reporting: </w:t>
      </w:r>
      <w:hyperlink r:id="rId25" w:history="1">
        <w:r>
          <w:rPr>
            <w:rStyle w:val="Hyperlink"/>
            <w:rFonts w:eastAsia="Times New Roman"/>
          </w:rPr>
          <w:t>Reporting Test Results</w:t>
        </w:r>
      </w:hyperlink>
      <w:r>
        <w:rPr>
          <w:rFonts w:eastAsia="Times New Roman"/>
        </w:rPr>
        <w:t xml:space="preserve">  </w:t>
      </w:r>
    </w:p>
    <w:p w14:paraId="4EA71CE3" w14:textId="62A9A0F9" w:rsidR="00AC725A" w:rsidRPr="00AC725A" w:rsidRDefault="00AC725A" w:rsidP="00AC725A">
      <w:pPr>
        <w:pStyle w:val="ListParagraph"/>
        <w:numPr>
          <w:ilvl w:val="0"/>
          <w:numId w:val="3"/>
        </w:numPr>
        <w:rPr>
          <w:rFonts w:ascii="Calibri" w:hAnsi="Calibri"/>
        </w:rPr>
      </w:pPr>
      <w:r w:rsidRPr="00AC725A">
        <w:t xml:space="preserve">Please fill out </w:t>
      </w:r>
      <w:hyperlink r:id="rId26" w:history="1">
        <w:r w:rsidR="00B312A3">
          <w:rPr>
            <w:rStyle w:val="Hyperlink"/>
          </w:rPr>
          <w:t>TN DOH Spreadsheet</w:t>
        </w:r>
      </w:hyperlink>
      <w:r w:rsidR="00D16BB8">
        <w:t xml:space="preserve"> and return to </w:t>
      </w:r>
      <w:hyperlink r:id="rId27" w:history="1">
        <w:r w:rsidR="00D16BB8" w:rsidRPr="0074083D">
          <w:rPr>
            <w:rStyle w:val="Hyperlink"/>
          </w:rPr>
          <w:t>DJ.Irving@tn.gov</w:t>
        </w:r>
      </w:hyperlink>
      <w:r w:rsidR="00D16BB8">
        <w:t xml:space="preserve"> or </w:t>
      </w:r>
      <w:hyperlink r:id="rId28" w:history="1">
        <w:r w:rsidR="00D16BB8">
          <w:rPr>
            <w:rStyle w:val="Hyperlink"/>
          </w:rPr>
          <w:t>covid19.testing@tn.gov</w:t>
        </w:r>
      </w:hyperlink>
      <w:r w:rsidR="00B312A3">
        <w:t xml:space="preserve">. </w:t>
      </w:r>
      <w:r>
        <w:t xml:space="preserve">Entry into the </w:t>
      </w:r>
      <w:r w:rsidRPr="00AC725A">
        <w:t>survey usually takes about 24 hours.</w:t>
      </w:r>
      <w:r>
        <w:t xml:space="preserve"> The POC variable is point of contact first and last name and your license type is </w:t>
      </w:r>
      <w:r w:rsidRPr="00AC725A">
        <w:rPr>
          <w:b/>
          <w:bCs/>
        </w:rPr>
        <w:t>School</w:t>
      </w:r>
      <w:r>
        <w:t>. Once you are in the survey, order enough supplies to last 3-4 months.</w:t>
      </w:r>
    </w:p>
    <w:p w14:paraId="22978D5A" w14:textId="3158F782" w:rsidR="00454B3F" w:rsidRDefault="00454B3F" w:rsidP="00647274">
      <w:pPr>
        <w:rPr>
          <w:rFonts w:cs="Open Sans"/>
          <w:sz w:val="22"/>
        </w:rPr>
      </w:pPr>
    </w:p>
    <w:p w14:paraId="5F7331CB" w14:textId="77777777" w:rsidR="00AC725A" w:rsidRDefault="00AC725A" w:rsidP="00AC725A">
      <w:pPr>
        <w:ind w:left="720"/>
        <w:rPr>
          <w:rFonts w:ascii="Arial" w:hAnsi="Arial" w:cs="Arial"/>
          <w:b/>
          <w:bCs/>
        </w:rPr>
      </w:pPr>
      <w:r>
        <w:rPr>
          <w:rFonts w:ascii="Arial" w:hAnsi="Arial" w:cs="Arial"/>
          <w:b/>
          <w:bCs/>
        </w:rPr>
        <w:t>Additional Information from Abbott who produces the BinaxNOW Cards:</w:t>
      </w:r>
    </w:p>
    <w:p w14:paraId="614A338D" w14:textId="77777777" w:rsidR="00AC725A" w:rsidRDefault="00AC725A" w:rsidP="00AC725A">
      <w:pPr>
        <w:ind w:left="720"/>
        <w:rPr>
          <w:rFonts w:ascii="Arial" w:hAnsi="Arial" w:cs="Arial"/>
        </w:rPr>
      </w:pPr>
      <w:r>
        <w:rPr>
          <w:rFonts w:ascii="Arial" w:hAnsi="Arial" w:cs="Arial"/>
        </w:rPr>
        <w:t xml:space="preserve">Training materials for the BinaxNOW test can be accessed </w:t>
      </w:r>
      <w:hyperlink r:id="rId29" w:history="1">
        <w:r>
          <w:rPr>
            <w:rStyle w:val="Hyperlink"/>
            <w:rFonts w:ascii="Arial" w:hAnsi="Arial" w:cs="Arial"/>
          </w:rPr>
          <w:t>here</w:t>
        </w:r>
      </w:hyperlink>
      <w:r>
        <w:rPr>
          <w:rFonts w:ascii="Arial" w:hAnsi="Arial" w:cs="Arial"/>
        </w:rPr>
        <w:t xml:space="preserve"> and we can also provide trainings via WebEx. The WebEx training consists of a Power Point Presentation which lasts approximately 30 minutes. For technical questions regarding the BinaxNOW test, please call Abbott Technical Services at 1 800 257 9525. Email </w:t>
      </w:r>
      <w:hyperlink r:id="rId30" w:history="1">
        <w:r>
          <w:rPr>
            <w:rStyle w:val="Hyperlink"/>
            <w:rFonts w:ascii="Arial" w:hAnsi="Arial" w:cs="Arial"/>
          </w:rPr>
          <w:t>COVID.Laboratory@TN.gov</w:t>
        </w:r>
      </w:hyperlink>
      <w:r>
        <w:rPr>
          <w:rFonts w:ascii="Arial" w:hAnsi="Arial" w:cs="Arial"/>
        </w:rPr>
        <w:t xml:space="preserve"> if you are interested in scheduling a training via WebEx. </w:t>
      </w:r>
    </w:p>
    <w:p w14:paraId="76A89D42" w14:textId="77777777" w:rsidR="00AC725A" w:rsidRDefault="00AC725A" w:rsidP="00AC725A">
      <w:pPr>
        <w:ind w:left="720"/>
        <w:rPr>
          <w:rFonts w:ascii="Arial" w:hAnsi="Arial" w:cs="Arial"/>
          <w:b/>
          <w:bCs/>
          <w:u w:val="single"/>
        </w:rPr>
      </w:pPr>
    </w:p>
    <w:p w14:paraId="3DA5E28A" w14:textId="77777777" w:rsidR="00AC725A" w:rsidRDefault="00AC725A" w:rsidP="00AC725A">
      <w:pPr>
        <w:ind w:left="720"/>
        <w:rPr>
          <w:rFonts w:ascii="Arial" w:hAnsi="Arial" w:cs="Arial"/>
        </w:rPr>
      </w:pPr>
      <w:r>
        <w:rPr>
          <w:rFonts w:ascii="Arial" w:hAnsi="Arial" w:cs="Arial"/>
        </w:rPr>
        <w:t xml:space="preserve">Your facility’s use of BinaxNOW COVID-19 Ag Card will assist with testing and enable adherence to ongoing testing practices according to public health guidelines.  For information on Clinical Laboratory Improvement Amendments (CLIA) POC antigen and asymptomatic testing, click </w:t>
      </w:r>
      <w:hyperlink r:id="rId31" w:history="1">
        <w:r>
          <w:rPr>
            <w:rStyle w:val="Hyperlink"/>
            <w:rFonts w:ascii="Arial" w:hAnsi="Arial" w:cs="Arial"/>
          </w:rPr>
          <w:t>here</w:t>
        </w:r>
      </w:hyperlink>
      <w:r>
        <w:rPr>
          <w:rFonts w:ascii="Arial" w:hAnsi="Arial" w:cs="Arial"/>
        </w:rPr>
        <w:t xml:space="preserve">. For FDA recommendations </w:t>
      </w:r>
      <w:r>
        <w:rPr>
          <w:rFonts w:ascii="Arial" w:hAnsi="Arial" w:cs="Arial"/>
          <w:sz w:val="23"/>
          <w:szCs w:val="23"/>
        </w:rPr>
        <w:t xml:space="preserve">for health care providers who are ordering authorized tests outside their authorization (e.g., antigen tests for asymptomatic individuals) – see </w:t>
      </w:r>
      <w:hyperlink r:id="rId32" w:history="1">
        <w:r>
          <w:rPr>
            <w:rStyle w:val="Hyperlink"/>
            <w:rFonts w:ascii="Arial" w:hAnsi="Arial" w:cs="Arial"/>
            <w:sz w:val="23"/>
            <w:szCs w:val="23"/>
          </w:rPr>
          <w:t>FDA's FAQ on Testing for SARS-CoV-2</w:t>
        </w:r>
      </w:hyperlink>
      <w:r>
        <w:rPr>
          <w:rFonts w:ascii="Arial" w:hAnsi="Arial" w:cs="Arial"/>
          <w:sz w:val="23"/>
          <w:szCs w:val="23"/>
        </w:rPr>
        <w:t xml:space="preserve"> (“Q: Does the FDA have recommendations for health care providers using SARS-CoV-2 diagnostic tests for screening asymptomatic individuals for COVID-19?”) for further information.”</w:t>
      </w:r>
    </w:p>
    <w:p w14:paraId="3D1BF5EB" w14:textId="77777777" w:rsidR="00AC725A" w:rsidRDefault="00AC725A" w:rsidP="00647274">
      <w:pPr>
        <w:rPr>
          <w:rFonts w:cs="Open Sans"/>
          <w:sz w:val="22"/>
        </w:rPr>
      </w:pPr>
    </w:p>
    <w:p w14:paraId="289320AB" w14:textId="77777777" w:rsidR="00647274" w:rsidRPr="00647274" w:rsidRDefault="00647274" w:rsidP="00647274">
      <w:pPr>
        <w:rPr>
          <w:rFonts w:cs="Open Sans"/>
          <w:sz w:val="22"/>
        </w:rPr>
      </w:pPr>
    </w:p>
    <w:p w14:paraId="32894036" w14:textId="77777777" w:rsidR="00F83B4C" w:rsidRDefault="00F83B4C" w:rsidP="008713A6">
      <w:pPr>
        <w:rPr>
          <w:rFonts w:cs="Open Sans"/>
          <w:sz w:val="22"/>
        </w:rPr>
      </w:pPr>
    </w:p>
    <w:p w14:paraId="4E2476F4" w14:textId="77777777" w:rsidR="00F83B4C" w:rsidRDefault="00F83B4C" w:rsidP="008713A6">
      <w:pPr>
        <w:rPr>
          <w:rFonts w:cs="Open Sans"/>
          <w:sz w:val="22"/>
        </w:rPr>
      </w:pPr>
    </w:p>
    <w:p w14:paraId="22176226" w14:textId="77777777" w:rsidR="00F83B4C" w:rsidRDefault="00F83B4C" w:rsidP="008713A6">
      <w:pPr>
        <w:rPr>
          <w:rFonts w:cs="Open Sans"/>
          <w:sz w:val="22"/>
        </w:rPr>
      </w:pPr>
    </w:p>
    <w:p w14:paraId="5642C7BC" w14:textId="77777777" w:rsidR="00F83B4C" w:rsidRDefault="00F83B4C" w:rsidP="008713A6">
      <w:pPr>
        <w:rPr>
          <w:rFonts w:cs="Open Sans"/>
          <w:sz w:val="22"/>
        </w:rPr>
      </w:pPr>
    </w:p>
    <w:p w14:paraId="1183EE63" w14:textId="77777777" w:rsidR="00F83B4C" w:rsidRDefault="00F83B4C" w:rsidP="008713A6">
      <w:pPr>
        <w:rPr>
          <w:rFonts w:cs="Open Sans"/>
          <w:sz w:val="22"/>
        </w:rPr>
      </w:pPr>
    </w:p>
    <w:p w14:paraId="46C880CE" w14:textId="5AF8FE7E" w:rsidR="00D16BB8" w:rsidRDefault="00D16BB8">
      <w:pPr>
        <w:rPr>
          <w:rFonts w:cs="Open Sans"/>
          <w:sz w:val="22"/>
        </w:rPr>
      </w:pPr>
      <w:r>
        <w:rPr>
          <w:rFonts w:cs="Open Sans"/>
          <w:sz w:val="22"/>
        </w:rPr>
        <w:br w:type="page"/>
      </w:r>
    </w:p>
    <w:p w14:paraId="759ECF36" w14:textId="0054DA37" w:rsidR="00F83B4C" w:rsidRPr="00AC725A" w:rsidRDefault="00F83B4C" w:rsidP="008713A6">
      <w:pPr>
        <w:rPr>
          <w:rFonts w:cs="Open Sans"/>
          <w:b/>
          <w:bCs/>
          <w:sz w:val="22"/>
        </w:rPr>
      </w:pPr>
      <w:r w:rsidRPr="00AC725A">
        <w:rPr>
          <w:rFonts w:cs="Open Sans"/>
          <w:b/>
          <w:bCs/>
          <w:sz w:val="22"/>
        </w:rPr>
        <w:lastRenderedPageBreak/>
        <w:t>Education CPO contacts:</w:t>
      </w:r>
    </w:p>
    <w:p w14:paraId="52442481" w14:textId="525BE845" w:rsidR="00F83B4C" w:rsidRDefault="00F83B4C" w:rsidP="008713A6">
      <w:pPr>
        <w:rPr>
          <w:rFonts w:cs="Open Sans"/>
          <w:sz w:val="22"/>
        </w:rPr>
      </w:pPr>
    </w:p>
    <w:p w14:paraId="3DAC894E" w14:textId="77777777" w:rsidR="00AA5241" w:rsidRDefault="00AA5241" w:rsidP="00AA5241">
      <w:pPr>
        <w:autoSpaceDE w:val="0"/>
        <w:autoSpaceDN w:val="0"/>
        <w:rPr>
          <w:rFonts w:cs="Open Sans"/>
          <w:color w:val="1F497D"/>
          <w:spacing w:val="-2"/>
          <w:sz w:val="18"/>
          <w:szCs w:val="18"/>
        </w:rPr>
      </w:pPr>
      <w:r>
        <w:rPr>
          <w:rFonts w:cs="Open Sans"/>
          <w:b/>
          <w:bCs/>
          <w:color w:val="17365D"/>
          <w:spacing w:val="-2"/>
          <w:szCs w:val="20"/>
        </w:rPr>
        <w:t>Mr. Laitin Beecham, M.P.A.</w:t>
      </w:r>
      <w:r>
        <w:rPr>
          <w:rFonts w:cs="Open Sans"/>
          <w:b/>
          <w:bCs/>
          <w:color w:val="17365D"/>
          <w:spacing w:val="-2"/>
          <w:sz w:val="18"/>
          <w:szCs w:val="18"/>
        </w:rPr>
        <w:t xml:space="preserve"> </w:t>
      </w:r>
      <w:r>
        <w:rPr>
          <w:rFonts w:cs="Open Sans"/>
          <w:color w:val="1F497D"/>
          <w:spacing w:val="-2"/>
          <w:sz w:val="18"/>
          <w:szCs w:val="18"/>
        </w:rPr>
        <w:t xml:space="preserve">|Sourcing Account Specialist </w:t>
      </w:r>
    </w:p>
    <w:p w14:paraId="1F1C3900" w14:textId="77777777" w:rsidR="00AA5241" w:rsidRDefault="00AA5241" w:rsidP="00AA5241">
      <w:pPr>
        <w:autoSpaceDE w:val="0"/>
        <w:autoSpaceDN w:val="0"/>
        <w:rPr>
          <w:rFonts w:cs="Open Sans"/>
          <w:color w:val="17365D"/>
          <w:spacing w:val="-2"/>
          <w:sz w:val="18"/>
          <w:szCs w:val="18"/>
        </w:rPr>
      </w:pPr>
      <w:r>
        <w:rPr>
          <w:rFonts w:cs="Open Sans"/>
          <w:color w:val="1F497D"/>
          <w:spacing w:val="-2"/>
          <w:sz w:val="18"/>
          <w:szCs w:val="18"/>
        </w:rPr>
        <w:t>Central Procurement Office</w:t>
      </w:r>
    </w:p>
    <w:p w14:paraId="18C3694D" w14:textId="77777777" w:rsidR="00AA5241" w:rsidRDefault="00AA5241" w:rsidP="00AA5241">
      <w:pPr>
        <w:rPr>
          <w:rFonts w:ascii="Times New Roman" w:hAnsi="Times New Roman" w:cs="Times New Roman"/>
          <w:color w:val="1F497D"/>
          <w:sz w:val="24"/>
          <w:szCs w:val="24"/>
        </w:rPr>
      </w:pPr>
      <w:r>
        <w:rPr>
          <w:rFonts w:cs="Open Sans"/>
          <w:color w:val="1F497D"/>
          <w:sz w:val="18"/>
          <w:szCs w:val="18"/>
        </w:rPr>
        <w:t>Tennessee Tower, 3</w:t>
      </w:r>
      <w:r>
        <w:rPr>
          <w:rFonts w:cs="Open Sans"/>
          <w:color w:val="1F497D"/>
          <w:sz w:val="18"/>
          <w:szCs w:val="18"/>
          <w:vertAlign w:val="superscript"/>
        </w:rPr>
        <w:t>rd</w:t>
      </w:r>
      <w:r>
        <w:rPr>
          <w:rFonts w:cs="Open Sans"/>
          <w:color w:val="1F497D"/>
          <w:sz w:val="18"/>
          <w:szCs w:val="18"/>
        </w:rPr>
        <w:t xml:space="preserve"> Floor</w:t>
      </w:r>
    </w:p>
    <w:p w14:paraId="1BAB8092" w14:textId="77777777" w:rsidR="00AA5241" w:rsidRDefault="00AA5241" w:rsidP="00AA5241">
      <w:pPr>
        <w:rPr>
          <w:rFonts w:ascii="Times New Roman" w:hAnsi="Times New Roman" w:cs="Times New Roman"/>
          <w:color w:val="1F497D"/>
          <w:sz w:val="24"/>
          <w:szCs w:val="24"/>
        </w:rPr>
      </w:pPr>
      <w:r>
        <w:rPr>
          <w:rFonts w:cs="Open Sans"/>
          <w:color w:val="1F497D"/>
          <w:sz w:val="18"/>
          <w:szCs w:val="18"/>
        </w:rPr>
        <w:t>312 Rosa L. Parks Ave., Nashville, TN 37243</w:t>
      </w:r>
    </w:p>
    <w:p w14:paraId="1D703376" w14:textId="77777777" w:rsidR="00AA5241" w:rsidRDefault="00AA5241" w:rsidP="00AA5241">
      <w:pPr>
        <w:rPr>
          <w:rFonts w:ascii="Times New Roman" w:hAnsi="Times New Roman" w:cs="Times New Roman"/>
          <w:color w:val="1F497D"/>
          <w:sz w:val="24"/>
          <w:szCs w:val="24"/>
        </w:rPr>
      </w:pPr>
      <w:r>
        <w:rPr>
          <w:rFonts w:cs="Open Sans"/>
          <w:color w:val="1F497D"/>
          <w:sz w:val="18"/>
          <w:szCs w:val="18"/>
        </w:rPr>
        <w:t xml:space="preserve">p. </w:t>
      </w:r>
      <w:r>
        <w:rPr>
          <w:rFonts w:cs="Open Sans"/>
          <w:color w:val="1F497D"/>
          <w:spacing w:val="-2"/>
          <w:sz w:val="18"/>
          <w:szCs w:val="18"/>
        </w:rPr>
        <w:t>615-291-5794</w:t>
      </w:r>
    </w:p>
    <w:p w14:paraId="74730836" w14:textId="77777777" w:rsidR="00AA5241" w:rsidRDefault="00A878C4" w:rsidP="00AA5241">
      <w:pPr>
        <w:rPr>
          <w:rFonts w:cs="Open Sans"/>
          <w:color w:val="1F497D"/>
          <w:spacing w:val="-2"/>
          <w:sz w:val="18"/>
          <w:szCs w:val="18"/>
        </w:rPr>
      </w:pPr>
      <w:hyperlink r:id="rId33" w:history="1">
        <w:r w:rsidR="00AA5241">
          <w:rPr>
            <w:rStyle w:val="Hyperlink"/>
            <w:rFonts w:cs="Open Sans"/>
            <w:spacing w:val="-2"/>
            <w:sz w:val="18"/>
            <w:szCs w:val="18"/>
          </w:rPr>
          <w:t>Laitin.Beecham@tn.gov</w:t>
        </w:r>
      </w:hyperlink>
    </w:p>
    <w:p w14:paraId="2AEA9202" w14:textId="77777777" w:rsidR="00F83B4C" w:rsidRDefault="00F83B4C" w:rsidP="008713A6">
      <w:pPr>
        <w:rPr>
          <w:rFonts w:cs="Open Sans"/>
          <w:sz w:val="22"/>
        </w:rPr>
      </w:pPr>
    </w:p>
    <w:p w14:paraId="443FA2E6" w14:textId="77777777" w:rsidR="00F83B4C" w:rsidRDefault="00F83B4C" w:rsidP="00F83B4C">
      <w:pPr>
        <w:rPr>
          <w:rFonts w:ascii="Calibri" w:eastAsia="Calibri" w:hAnsi="Calibri" w:cs="Calibri"/>
          <w:noProof/>
          <w:color w:val="1F497D"/>
        </w:rPr>
      </w:pPr>
      <w:r>
        <w:rPr>
          <w:rFonts w:ascii="Calibri" w:eastAsia="Calibri" w:hAnsi="Calibri" w:cs="Calibri"/>
          <w:b/>
          <w:bCs/>
          <w:noProof/>
          <w:color w:val="1F497D"/>
        </w:rPr>
        <w:t xml:space="preserve">Kelly Johns </w:t>
      </w:r>
      <w:r>
        <w:rPr>
          <w:rFonts w:ascii="Calibri" w:eastAsia="Calibri" w:hAnsi="Calibri" w:cs="Calibri"/>
          <w:noProof/>
          <w:color w:val="1F497D"/>
        </w:rPr>
        <w:t xml:space="preserve">| </w:t>
      </w:r>
      <w:r>
        <w:rPr>
          <w:rFonts w:ascii="Calibri" w:eastAsia="Calibri" w:hAnsi="Calibri" w:cs="Calibri"/>
          <w:noProof/>
          <w:color w:val="000000"/>
          <w:spacing w:val="-2"/>
        </w:rPr>
        <w:t>Sourcing Account Management Team Lead</w:t>
      </w:r>
    </w:p>
    <w:p w14:paraId="585922C7" w14:textId="77777777" w:rsidR="00F83B4C" w:rsidRDefault="00F83B4C" w:rsidP="00F83B4C">
      <w:pPr>
        <w:rPr>
          <w:rFonts w:ascii="Calibri" w:eastAsia="Calibri" w:hAnsi="Calibri" w:cs="Calibri"/>
          <w:noProof/>
          <w:color w:val="1F497D"/>
        </w:rPr>
      </w:pPr>
      <w:r>
        <w:rPr>
          <w:rFonts w:ascii="Calibri" w:eastAsia="Calibri" w:hAnsi="Calibri" w:cs="Calibri"/>
          <w:noProof/>
          <w:color w:val="1F497D"/>
        </w:rPr>
        <w:t xml:space="preserve">Central Procurement Office </w:t>
      </w:r>
    </w:p>
    <w:p w14:paraId="6E98023C" w14:textId="77777777" w:rsidR="00F83B4C" w:rsidRDefault="00F83B4C" w:rsidP="00F83B4C">
      <w:pPr>
        <w:rPr>
          <w:rFonts w:ascii="Calibri" w:eastAsia="Calibri" w:hAnsi="Calibri" w:cs="Calibri"/>
          <w:noProof/>
          <w:color w:val="1F497D"/>
        </w:rPr>
      </w:pPr>
      <w:r>
        <w:rPr>
          <w:rFonts w:ascii="Calibri" w:eastAsia="Calibri" w:hAnsi="Calibri" w:cs="Calibri"/>
          <w:noProof/>
          <w:color w:val="1F497D"/>
        </w:rPr>
        <w:t>Tennessee Tower, 3</w:t>
      </w:r>
      <w:r>
        <w:rPr>
          <w:rFonts w:ascii="Calibri" w:eastAsia="Calibri" w:hAnsi="Calibri" w:cs="Calibri"/>
          <w:noProof/>
          <w:color w:val="1F497D"/>
          <w:vertAlign w:val="superscript"/>
        </w:rPr>
        <w:t>rd</w:t>
      </w:r>
      <w:r>
        <w:rPr>
          <w:rFonts w:ascii="Calibri" w:eastAsia="Calibri" w:hAnsi="Calibri" w:cs="Calibri"/>
          <w:noProof/>
          <w:color w:val="1F497D"/>
        </w:rPr>
        <w:t xml:space="preserve"> Floor </w:t>
      </w:r>
    </w:p>
    <w:p w14:paraId="589A9EBF" w14:textId="77777777" w:rsidR="00F83B4C" w:rsidRDefault="00F83B4C" w:rsidP="00F83B4C">
      <w:pPr>
        <w:rPr>
          <w:rFonts w:ascii="Calibri" w:eastAsia="Calibri" w:hAnsi="Calibri" w:cs="Calibri"/>
          <w:noProof/>
          <w:color w:val="1F497D"/>
        </w:rPr>
      </w:pPr>
      <w:r>
        <w:rPr>
          <w:rFonts w:ascii="Calibri" w:eastAsia="Calibri" w:hAnsi="Calibri" w:cs="Calibri"/>
          <w:noProof/>
          <w:color w:val="1F497D"/>
        </w:rPr>
        <w:t>312 Rosa L. Parks Ave, Nashville, TN 37243</w:t>
      </w:r>
    </w:p>
    <w:p w14:paraId="3EC8F568" w14:textId="77777777" w:rsidR="00F83B4C" w:rsidRDefault="00F83B4C" w:rsidP="00F83B4C">
      <w:pPr>
        <w:rPr>
          <w:rFonts w:ascii="Calibri" w:eastAsia="Calibri" w:hAnsi="Calibri" w:cs="Calibri"/>
          <w:noProof/>
          <w:color w:val="1F497D"/>
        </w:rPr>
      </w:pPr>
      <w:r>
        <w:rPr>
          <w:rFonts w:ascii="Calibri" w:eastAsia="Calibri" w:hAnsi="Calibri" w:cs="Calibri"/>
          <w:noProof/>
          <w:color w:val="1F497D"/>
        </w:rPr>
        <w:t xml:space="preserve">p. 615-741-8852 </w:t>
      </w:r>
    </w:p>
    <w:p w14:paraId="3E7B5F76" w14:textId="77777777" w:rsidR="00F83B4C" w:rsidRDefault="00A878C4" w:rsidP="00F83B4C">
      <w:pPr>
        <w:rPr>
          <w:rFonts w:ascii="Calibri" w:eastAsia="Calibri" w:hAnsi="Calibri" w:cs="Calibri"/>
          <w:noProof/>
          <w:color w:val="1F497D"/>
        </w:rPr>
      </w:pPr>
      <w:hyperlink r:id="rId34" w:history="1">
        <w:r w:rsidR="00F83B4C">
          <w:rPr>
            <w:rStyle w:val="Hyperlink"/>
            <w:rFonts w:ascii="Calibri" w:eastAsia="Calibri" w:hAnsi="Calibri" w:cs="Calibri"/>
            <w:noProof/>
          </w:rPr>
          <w:t>Kelly.X.Johns@tn.gov</w:t>
        </w:r>
      </w:hyperlink>
    </w:p>
    <w:p w14:paraId="66F48664" w14:textId="77777777" w:rsidR="00F83B4C" w:rsidRDefault="00F83B4C" w:rsidP="008713A6">
      <w:pPr>
        <w:rPr>
          <w:rFonts w:cs="Open Sans"/>
          <w:sz w:val="22"/>
        </w:rPr>
      </w:pPr>
    </w:p>
    <w:p w14:paraId="1C4B3BBA" w14:textId="7C521FE7" w:rsidR="005C696F" w:rsidRPr="00AC725A" w:rsidRDefault="005C696F" w:rsidP="008713A6">
      <w:pPr>
        <w:rPr>
          <w:rFonts w:cs="Open Sans"/>
          <w:b/>
          <w:bCs/>
          <w:sz w:val="22"/>
        </w:rPr>
      </w:pPr>
      <w:r w:rsidRPr="00AC725A">
        <w:rPr>
          <w:rFonts w:cs="Open Sans"/>
          <w:b/>
          <w:bCs/>
          <w:sz w:val="22"/>
        </w:rPr>
        <w:t>Resources:</w:t>
      </w:r>
    </w:p>
    <w:p w14:paraId="4999A5DA" w14:textId="6C31B325" w:rsidR="005C696F" w:rsidRDefault="005C696F" w:rsidP="008713A6">
      <w:pPr>
        <w:rPr>
          <w:rFonts w:cs="Open Sans"/>
          <w:sz w:val="22"/>
        </w:rPr>
      </w:pPr>
    </w:p>
    <w:p w14:paraId="628B3771" w14:textId="77777777" w:rsidR="00AC725A" w:rsidRPr="00AC725A" w:rsidRDefault="00AC725A" w:rsidP="00AC725A">
      <w:pPr>
        <w:rPr>
          <w:b/>
          <w:bCs/>
        </w:rPr>
      </w:pPr>
      <w:r w:rsidRPr="00AC725A">
        <w:rPr>
          <w:b/>
          <w:bCs/>
        </w:rPr>
        <w:t xml:space="preserve">General Information </w:t>
      </w:r>
    </w:p>
    <w:p w14:paraId="11DAE097" w14:textId="77777777" w:rsidR="00AC725A" w:rsidRDefault="00AC725A" w:rsidP="00AC725A">
      <w:pPr>
        <w:rPr>
          <w:rFonts w:ascii="Calibri" w:hAnsi="Calibri"/>
        </w:rPr>
      </w:pPr>
      <w:r>
        <w:t>Here are the links to the FDA Emergency Use Authorization COVID Tests:</w:t>
      </w:r>
    </w:p>
    <w:p w14:paraId="14E6C1F9" w14:textId="77777777" w:rsidR="00AC725A" w:rsidRDefault="00A878C4" w:rsidP="00AC725A">
      <w:hyperlink r:id="rId35" w:history="1">
        <w:r w:rsidR="00AC725A">
          <w:rPr>
            <w:rStyle w:val="Hyperlink"/>
          </w:rPr>
          <w:t>FDA EUA Antigen Tests for SARS-CoV-2</w:t>
        </w:r>
      </w:hyperlink>
    </w:p>
    <w:p w14:paraId="73AC1B03" w14:textId="77777777" w:rsidR="00AC725A" w:rsidRDefault="00A878C4" w:rsidP="00AC725A">
      <w:hyperlink r:id="rId36" w:history="1">
        <w:r w:rsidR="00AC725A">
          <w:rPr>
            <w:rStyle w:val="Hyperlink"/>
          </w:rPr>
          <w:t>FDA EUA Molecular Tests for SARS-CoV-2</w:t>
        </w:r>
      </w:hyperlink>
    </w:p>
    <w:p w14:paraId="49B291AB" w14:textId="2C952CB7" w:rsidR="00AC725A" w:rsidRDefault="00AC725A" w:rsidP="008713A6">
      <w:pPr>
        <w:rPr>
          <w:rFonts w:cs="Open Sans"/>
          <w:sz w:val="22"/>
        </w:rPr>
      </w:pPr>
    </w:p>
    <w:p w14:paraId="71E12E3C" w14:textId="5FA5F960" w:rsidR="00AC725A" w:rsidRPr="00AC725A" w:rsidRDefault="00AC725A" w:rsidP="008713A6">
      <w:pPr>
        <w:rPr>
          <w:rFonts w:cs="Open Sans"/>
          <w:b/>
          <w:bCs/>
          <w:sz w:val="22"/>
        </w:rPr>
      </w:pPr>
      <w:r w:rsidRPr="00AC725A">
        <w:rPr>
          <w:rFonts w:cs="Open Sans"/>
          <w:b/>
          <w:bCs/>
          <w:sz w:val="22"/>
        </w:rPr>
        <w:t>Helpful Contacts at Health:</w:t>
      </w:r>
    </w:p>
    <w:p w14:paraId="2E806E0B" w14:textId="7B093572" w:rsidR="002036ED" w:rsidRDefault="005C696F" w:rsidP="008713A6">
      <w:pPr>
        <w:rPr>
          <w:rFonts w:cs="Open Sans"/>
          <w:sz w:val="22"/>
        </w:rPr>
      </w:pPr>
      <w:r>
        <w:rPr>
          <w:rFonts w:cs="Open Sans"/>
          <w:sz w:val="22"/>
        </w:rPr>
        <w:t xml:space="preserve">For Dept. of Health’s input on </w:t>
      </w:r>
      <w:r w:rsidR="00DB0E0A">
        <w:rPr>
          <w:rFonts w:cs="Open Sans"/>
          <w:sz w:val="22"/>
        </w:rPr>
        <w:t>specifics of testing</w:t>
      </w:r>
      <w:r>
        <w:rPr>
          <w:rFonts w:cs="Open Sans"/>
          <w:sz w:val="22"/>
        </w:rPr>
        <w:t xml:space="preserve"> options for either currently used testing options or newly approved EU options</w:t>
      </w:r>
      <w:r w:rsidR="00DB0E0A">
        <w:rPr>
          <w:rFonts w:cs="Open Sans"/>
          <w:sz w:val="22"/>
        </w:rPr>
        <w:t>, contact Dr. Tim F. Jones</w:t>
      </w:r>
      <w:r>
        <w:rPr>
          <w:rFonts w:cs="Open Sans"/>
          <w:sz w:val="22"/>
        </w:rPr>
        <w:t xml:space="preserve">, </w:t>
      </w:r>
      <w:hyperlink r:id="rId37" w:history="1">
        <w:r w:rsidRPr="0074083D">
          <w:rPr>
            <w:rStyle w:val="Hyperlink"/>
            <w:rFonts w:cs="Open Sans"/>
            <w:sz w:val="22"/>
          </w:rPr>
          <w:t>Tim.F.Jones@tn.gov</w:t>
        </w:r>
      </w:hyperlink>
      <w:r>
        <w:rPr>
          <w:rFonts w:cs="Open Sans"/>
          <w:sz w:val="22"/>
        </w:rPr>
        <w:t xml:space="preserve"> .  </w:t>
      </w:r>
    </w:p>
    <w:p w14:paraId="7906B905" w14:textId="11F4DBB2" w:rsidR="00DB0E0A" w:rsidRDefault="00DB0E0A" w:rsidP="008713A6">
      <w:pPr>
        <w:rPr>
          <w:rFonts w:cs="Open Sans"/>
          <w:sz w:val="22"/>
        </w:rPr>
      </w:pPr>
    </w:p>
    <w:p w14:paraId="799CFE46" w14:textId="62CC4980" w:rsidR="00DB0E0A" w:rsidRDefault="00DB0E0A" w:rsidP="008713A6">
      <w:pPr>
        <w:rPr>
          <w:rFonts w:cs="Open Sans"/>
          <w:sz w:val="22"/>
        </w:rPr>
      </w:pPr>
      <w:r>
        <w:rPr>
          <w:rFonts w:cs="Open Sans"/>
          <w:sz w:val="22"/>
        </w:rPr>
        <w:t>If</w:t>
      </w:r>
      <w:r w:rsidR="005C696F">
        <w:rPr>
          <w:rFonts w:cs="Open Sans"/>
          <w:sz w:val="22"/>
        </w:rPr>
        <w:t xml:space="preserve"> Education </w:t>
      </w:r>
      <w:r w:rsidR="005771CF">
        <w:rPr>
          <w:rFonts w:cs="Open Sans"/>
          <w:sz w:val="22"/>
        </w:rPr>
        <w:t>need</w:t>
      </w:r>
      <w:r w:rsidR="005C2AEA">
        <w:rPr>
          <w:rFonts w:cs="Open Sans"/>
          <w:sz w:val="22"/>
        </w:rPr>
        <w:t>s</w:t>
      </w:r>
      <w:r w:rsidR="005771CF">
        <w:rPr>
          <w:rFonts w:cs="Open Sans"/>
          <w:sz w:val="22"/>
        </w:rPr>
        <w:t xml:space="preserve"> help understanding how Health </w:t>
      </w:r>
      <w:r w:rsidR="005C696F">
        <w:rPr>
          <w:rFonts w:cs="Open Sans"/>
          <w:sz w:val="22"/>
        </w:rPr>
        <w:t xml:space="preserve">utilizes its agency term contracts, </w:t>
      </w:r>
      <w:r w:rsidR="005771CF">
        <w:rPr>
          <w:rFonts w:cs="Open Sans"/>
          <w:sz w:val="22"/>
        </w:rPr>
        <w:t>please reach out to Lindsay</w:t>
      </w:r>
      <w:r w:rsidR="005C696F">
        <w:rPr>
          <w:rFonts w:cs="Open Sans"/>
          <w:sz w:val="22"/>
        </w:rPr>
        <w:t xml:space="preserve"> Oliveras, </w:t>
      </w:r>
      <w:hyperlink r:id="rId38" w:history="1">
        <w:r w:rsidR="005C696F" w:rsidRPr="0074083D">
          <w:rPr>
            <w:rStyle w:val="Hyperlink"/>
            <w:rFonts w:cs="Open Sans"/>
            <w:sz w:val="22"/>
          </w:rPr>
          <w:t>Lindsay.R.Oliveras@tn.gov</w:t>
        </w:r>
      </w:hyperlink>
      <w:r w:rsidR="005C696F">
        <w:rPr>
          <w:rFonts w:cs="Open Sans"/>
          <w:sz w:val="22"/>
        </w:rPr>
        <w:t xml:space="preserve"> </w:t>
      </w:r>
      <w:r w:rsidR="005771CF">
        <w:rPr>
          <w:rFonts w:cs="Open Sans"/>
          <w:sz w:val="22"/>
        </w:rPr>
        <w:t>.</w:t>
      </w:r>
    </w:p>
    <w:p w14:paraId="026F897C" w14:textId="7D5CB648" w:rsidR="005771CF" w:rsidRDefault="005771CF" w:rsidP="008713A6">
      <w:pPr>
        <w:rPr>
          <w:rFonts w:cs="Open Sans"/>
          <w:sz w:val="22"/>
        </w:rPr>
      </w:pPr>
    </w:p>
    <w:p w14:paraId="68C9E343" w14:textId="7148104E" w:rsidR="00AC725A" w:rsidRPr="00AC725A" w:rsidRDefault="00AC725A" w:rsidP="008713A6">
      <w:pPr>
        <w:rPr>
          <w:rFonts w:cs="Open Sans"/>
          <w:b/>
          <w:bCs/>
          <w:sz w:val="22"/>
        </w:rPr>
      </w:pPr>
      <w:r w:rsidRPr="00AC725A">
        <w:rPr>
          <w:rFonts w:cs="Open Sans"/>
          <w:b/>
          <w:bCs/>
          <w:sz w:val="22"/>
        </w:rPr>
        <w:t>Sample email to Suppliers not on contract:</w:t>
      </w:r>
    </w:p>
    <w:p w14:paraId="33DC1EDB" w14:textId="5DA64D57" w:rsidR="005C696F" w:rsidRDefault="005C696F" w:rsidP="008713A6">
      <w:pPr>
        <w:rPr>
          <w:rFonts w:cs="Open Sans"/>
          <w:sz w:val="22"/>
        </w:rPr>
      </w:pPr>
      <w:r>
        <w:rPr>
          <w:rFonts w:cs="Open Sans"/>
          <w:sz w:val="22"/>
        </w:rPr>
        <w:t xml:space="preserve">If suppliers are reaching out to you </w:t>
      </w:r>
      <w:r w:rsidR="00B92A4B">
        <w:rPr>
          <w:rFonts w:cs="Open Sans"/>
          <w:sz w:val="22"/>
        </w:rPr>
        <w:t xml:space="preserve">who want to do business with the State, please reply with the following: </w:t>
      </w:r>
    </w:p>
    <w:p w14:paraId="4FF1DC72" w14:textId="77777777" w:rsidR="00F83B4C" w:rsidRDefault="00F83B4C" w:rsidP="008713A6">
      <w:pPr>
        <w:rPr>
          <w:rFonts w:cs="Open Sans"/>
          <w:sz w:val="22"/>
        </w:rPr>
      </w:pPr>
    </w:p>
    <w:p w14:paraId="596132E2" w14:textId="0F469126" w:rsidR="00F0287E" w:rsidRDefault="00F0287E" w:rsidP="00F83B4C">
      <w:pPr>
        <w:ind w:left="720"/>
        <w:rPr>
          <w:rFonts w:cs="Open Sans"/>
          <w:sz w:val="22"/>
        </w:rPr>
      </w:pPr>
      <w:r>
        <w:rPr>
          <w:rFonts w:cs="Open Sans"/>
          <w:sz w:val="22"/>
        </w:rPr>
        <w:t xml:space="preserve">Thank you for your interest in doing business with the State.  Please visit the Central Procurement Office website </w:t>
      </w:r>
      <w:r w:rsidR="00F83B4C">
        <w:rPr>
          <w:rFonts w:cs="Open Sans"/>
          <w:sz w:val="22"/>
        </w:rPr>
        <w:t>for bidding opportunities and how to register as a supplier:</w:t>
      </w:r>
    </w:p>
    <w:p w14:paraId="18273855" w14:textId="4EBC6E07" w:rsidR="00B92A4B" w:rsidRDefault="00A878C4" w:rsidP="00F83B4C">
      <w:pPr>
        <w:ind w:left="720"/>
        <w:rPr>
          <w:rFonts w:cs="Open Sans"/>
          <w:sz w:val="22"/>
        </w:rPr>
      </w:pPr>
      <w:hyperlink r:id="rId39" w:history="1">
        <w:r w:rsidR="00F0287E" w:rsidRPr="0074083D">
          <w:rPr>
            <w:rStyle w:val="Hyperlink"/>
            <w:rFonts w:cs="Open Sans"/>
            <w:sz w:val="22"/>
          </w:rPr>
          <w:t>https://www.tn.gov/generalservices/procurement/central-procurement-office--cpo-/supplier-information.html</w:t>
        </w:r>
      </w:hyperlink>
      <w:r w:rsidR="00B92A4B">
        <w:rPr>
          <w:rFonts w:cs="Open Sans"/>
          <w:sz w:val="22"/>
        </w:rPr>
        <w:t xml:space="preserve"> </w:t>
      </w:r>
    </w:p>
    <w:p w14:paraId="3AA71AF0" w14:textId="213B0F36" w:rsidR="00F0287E" w:rsidRDefault="00F0287E" w:rsidP="00F83B4C">
      <w:pPr>
        <w:ind w:left="720"/>
        <w:rPr>
          <w:rFonts w:cs="Open Sans"/>
          <w:sz w:val="22"/>
        </w:rPr>
      </w:pPr>
    </w:p>
    <w:p w14:paraId="71C34B21" w14:textId="1C7D593A" w:rsidR="00F83B4C" w:rsidRDefault="00F83B4C" w:rsidP="00F83B4C">
      <w:pPr>
        <w:ind w:left="720"/>
        <w:rPr>
          <w:rFonts w:cs="Open Sans"/>
          <w:sz w:val="22"/>
        </w:rPr>
      </w:pPr>
      <w:r>
        <w:rPr>
          <w:rFonts w:cs="Open Sans"/>
          <w:sz w:val="22"/>
        </w:rPr>
        <w:t>Knowledge Bursts (KB) are available to help Navigate the State’s Edison system:</w:t>
      </w:r>
    </w:p>
    <w:p w14:paraId="0FD4B92D" w14:textId="77777777" w:rsidR="00F83B4C" w:rsidRDefault="00F83B4C" w:rsidP="00F83B4C">
      <w:pPr>
        <w:ind w:left="720"/>
        <w:rPr>
          <w:rFonts w:cs="Open Sans"/>
          <w:sz w:val="22"/>
        </w:rPr>
      </w:pPr>
    </w:p>
    <w:p w14:paraId="4ACFF865" w14:textId="77777777" w:rsidR="00F0287E" w:rsidRDefault="00A878C4" w:rsidP="00F83B4C">
      <w:pPr>
        <w:ind w:left="720"/>
        <w:rPr>
          <w:rFonts w:asciiTheme="minorHAnsi" w:hAnsiTheme="minorHAnsi"/>
        </w:rPr>
      </w:pPr>
      <w:hyperlink r:id="rId40" w:history="1">
        <w:r w:rsidR="00F0287E">
          <w:rPr>
            <w:rStyle w:val="Hyperlink"/>
          </w:rPr>
          <w:t>KB - How to Register as a Supplier</w:t>
        </w:r>
      </w:hyperlink>
    </w:p>
    <w:p w14:paraId="27791E5A" w14:textId="77777777" w:rsidR="00F0287E" w:rsidRDefault="00A878C4" w:rsidP="00F83B4C">
      <w:pPr>
        <w:ind w:left="720"/>
      </w:pPr>
      <w:hyperlink r:id="rId41" w:history="1">
        <w:r w:rsidR="00F0287E">
          <w:rPr>
            <w:rStyle w:val="Hyperlink"/>
          </w:rPr>
          <w:t>https://www.youtube.com/watch?app=desktop&amp;v=yPK2EDSfOqQ</w:t>
        </w:r>
      </w:hyperlink>
    </w:p>
    <w:p w14:paraId="6C8E1D23" w14:textId="77777777" w:rsidR="00F0287E" w:rsidRDefault="00F0287E" w:rsidP="00F83B4C">
      <w:pPr>
        <w:ind w:left="720"/>
      </w:pPr>
    </w:p>
    <w:p w14:paraId="2300BBA2" w14:textId="77777777" w:rsidR="00F0287E" w:rsidRDefault="00A878C4" w:rsidP="00F83B4C">
      <w:pPr>
        <w:ind w:left="720"/>
      </w:pPr>
      <w:hyperlink r:id="rId42" w:history="1">
        <w:r w:rsidR="00F0287E">
          <w:rPr>
            <w:rStyle w:val="Hyperlink"/>
          </w:rPr>
          <w:t>KB - Creating a New User Account</w:t>
        </w:r>
      </w:hyperlink>
    </w:p>
    <w:p w14:paraId="6E2AE953" w14:textId="77777777" w:rsidR="00F0287E" w:rsidRDefault="00A878C4" w:rsidP="00F83B4C">
      <w:pPr>
        <w:ind w:left="720"/>
      </w:pPr>
      <w:hyperlink r:id="rId43" w:tooltip="KB - Creating a New User Account" w:history="1">
        <w:hyperlink r:id="rId44" w:history="1">
          <w:r w:rsidR="00F0287E">
            <w:rPr>
              <w:rStyle w:val="Hyperlink"/>
            </w:rPr>
            <w:t>https://www.youtube.com/watch?v=TmYWvK2Wh1Y</w:t>
          </w:r>
        </w:hyperlink>
      </w:hyperlink>
    </w:p>
    <w:p w14:paraId="7F460D2F" w14:textId="77777777" w:rsidR="00F0287E" w:rsidRDefault="00F0287E" w:rsidP="00F83B4C">
      <w:pPr>
        <w:ind w:left="720"/>
      </w:pPr>
    </w:p>
    <w:p w14:paraId="3D74C3FA" w14:textId="77777777" w:rsidR="00F0287E" w:rsidRDefault="00A878C4" w:rsidP="00F83B4C">
      <w:pPr>
        <w:ind w:left="720"/>
      </w:pPr>
      <w:hyperlink r:id="rId45" w:history="1">
        <w:r w:rsidR="00F0287E">
          <w:rPr>
            <w:rStyle w:val="Hyperlink"/>
          </w:rPr>
          <w:t>KB - Reviewing Solicitations and Submitting Bids in Edison</w:t>
        </w:r>
      </w:hyperlink>
    </w:p>
    <w:p w14:paraId="438F2A0F" w14:textId="77777777" w:rsidR="00F0287E" w:rsidRDefault="00A878C4" w:rsidP="00F83B4C">
      <w:pPr>
        <w:ind w:left="720"/>
        <w:rPr>
          <w:rStyle w:val="Hyperlink"/>
        </w:rPr>
      </w:pPr>
      <w:hyperlink r:id="rId46" w:tooltip="KB - Reviewing Solicitations and Submitting Bids in Edison" w:history="1">
        <w:hyperlink r:id="rId47" w:history="1">
          <w:r w:rsidR="00F0287E">
            <w:rPr>
              <w:rStyle w:val="Hyperlink"/>
            </w:rPr>
            <w:t>https://www.youtube.com/watch?v=nFxpHf1PthA</w:t>
          </w:r>
        </w:hyperlink>
      </w:hyperlink>
    </w:p>
    <w:p w14:paraId="664D4BED" w14:textId="77777777" w:rsidR="00F0287E" w:rsidRDefault="00F0287E" w:rsidP="00F83B4C">
      <w:pPr>
        <w:ind w:left="720"/>
        <w:rPr>
          <w:rStyle w:val="Hyperlink"/>
        </w:rPr>
      </w:pPr>
    </w:p>
    <w:p w14:paraId="3E66B211" w14:textId="77777777" w:rsidR="00F0287E" w:rsidRDefault="00A878C4" w:rsidP="00F83B4C">
      <w:pPr>
        <w:ind w:left="720"/>
      </w:pPr>
      <w:hyperlink r:id="rId48" w:history="1">
        <w:r w:rsidR="00F0287E">
          <w:rPr>
            <w:rStyle w:val="Hyperlink"/>
          </w:rPr>
          <w:t>KB - Navigation of the Supplier Portal</w:t>
        </w:r>
      </w:hyperlink>
    </w:p>
    <w:p w14:paraId="04CA1065" w14:textId="77777777" w:rsidR="00F0287E" w:rsidRDefault="00A878C4" w:rsidP="00F83B4C">
      <w:pPr>
        <w:ind w:left="720"/>
      </w:pPr>
      <w:hyperlink r:id="rId49" w:tooltip="KB - Navigation of the Supplier Portal" w:history="1">
        <w:hyperlink r:id="rId50" w:history="1">
          <w:r w:rsidR="00F0287E">
            <w:rPr>
              <w:rStyle w:val="Hyperlink"/>
            </w:rPr>
            <w:t>https://www.youtube.com/watch?v=NG8ULSo3GEc</w:t>
          </w:r>
        </w:hyperlink>
      </w:hyperlink>
    </w:p>
    <w:p w14:paraId="0DB663E3" w14:textId="77777777" w:rsidR="00F0287E" w:rsidRDefault="00F0287E" w:rsidP="008713A6">
      <w:pPr>
        <w:rPr>
          <w:rFonts w:cs="Open Sans"/>
          <w:sz w:val="22"/>
        </w:rPr>
      </w:pPr>
    </w:p>
    <w:sectPr w:rsidR="00F0287E" w:rsidSect="00671B7E">
      <w:headerReference w:type="default" r:id="rId51"/>
      <w:footerReference w:type="default" r:id="rId52"/>
      <w:headerReference w:type="first" r:id="rId53"/>
      <w:footerReference w:type="first" r:id="rId54"/>
      <w:type w:val="continuous"/>
      <w:pgSz w:w="12240" w:h="15840"/>
      <w:pgMar w:top="1800" w:right="1080" w:bottom="1267" w:left="1080" w:header="720"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63E4" w14:textId="77777777" w:rsidR="007A6C35" w:rsidRDefault="007A6C35" w:rsidP="0089763D">
      <w:r>
        <w:separator/>
      </w:r>
    </w:p>
  </w:endnote>
  <w:endnote w:type="continuationSeparator" w:id="0">
    <w:p w14:paraId="63E3E144" w14:textId="77777777" w:rsidR="007A6C35" w:rsidRDefault="007A6C35" w:rsidP="0089763D">
      <w:r>
        <w:continuationSeparator/>
      </w:r>
    </w:p>
  </w:endnote>
  <w:endnote w:type="continuationNotice" w:id="1">
    <w:p w14:paraId="691BD016" w14:textId="77777777" w:rsidR="007A6C35" w:rsidRDefault="007A6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8990" w14:textId="77777777" w:rsidR="0089763D" w:rsidRDefault="0089763D" w:rsidP="0089763D">
    <w:pPr>
      <w:spacing w:before="12"/>
      <w:rPr>
        <w:rFonts w:eastAsia="Open Sans" w:cs="Open Sans"/>
        <w:sz w:val="16"/>
        <w:szCs w:val="16"/>
      </w:rPr>
    </w:pPr>
  </w:p>
  <w:p w14:paraId="55013147"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50747132" wp14:editId="1E277EB5">
              <wp:extent cx="6671310" cy="45085"/>
              <wp:effectExtent l="3175" t="0" r="254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671310" cy="45085"/>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0705AA" id="Group 1" o:spid="_x0000_s1026" style="width:525.3pt;height:3.55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29CC5413" w14:textId="77777777" w:rsidR="004313EE" w:rsidRPr="004313EE" w:rsidRDefault="004313EE" w:rsidP="00364BE0">
    <w:pPr>
      <w:spacing w:before="59" w:line="216" w:lineRule="exact"/>
      <w:ind w:right="-40"/>
      <w:rPr>
        <w:rFonts w:eastAsia="Open Sans" w:cs="Open Sans"/>
        <w:color w:val="7E7578"/>
        <w:sz w:val="18"/>
        <w:szCs w:val="18"/>
      </w:rPr>
    </w:pPr>
    <w:r w:rsidRPr="004313EE">
      <w:rPr>
        <w:rFonts w:eastAsia="Open Sans" w:cs="Open Sans"/>
        <w:color w:val="7E7578"/>
        <w:sz w:val="18"/>
        <w:szCs w:val="18"/>
      </w:rPr>
      <w:t>Division/Office • First Address Line • Second Address Line • City, State Zip</w:t>
    </w:r>
    <w:r w:rsidR="005616B1">
      <w:rPr>
        <w:rFonts w:eastAsia="Open Sans" w:cs="Open Sans"/>
        <w:color w:val="7E7578"/>
        <w:sz w:val="18"/>
        <w:szCs w:val="18"/>
      </w:rPr>
      <w:t xml:space="preserve"> C</w:t>
    </w:r>
    <w:r w:rsidRPr="004313EE">
      <w:rPr>
        <w:rFonts w:eastAsia="Open Sans" w:cs="Open Sans"/>
        <w:color w:val="7E7578"/>
        <w:sz w:val="18"/>
        <w:szCs w:val="18"/>
      </w:rPr>
      <w:t>ode</w:t>
    </w:r>
  </w:p>
  <w:p w14:paraId="1EC22A3B" w14:textId="77777777" w:rsidR="0089763D" w:rsidRPr="004313EE" w:rsidRDefault="005616B1" w:rsidP="00364BE0">
    <w:pPr>
      <w:spacing w:before="59" w:line="216" w:lineRule="exact"/>
      <w:ind w:right="-40"/>
      <w:rPr>
        <w:rFonts w:eastAsia="Open Sans" w:cs="Open Sans"/>
        <w:color w:val="7E7578"/>
        <w:sz w:val="18"/>
        <w:szCs w:val="18"/>
      </w:rPr>
    </w:pPr>
    <w:r>
      <w:rPr>
        <w:rFonts w:eastAsia="Open Sans" w:cs="Open Sans"/>
        <w:color w:val="7E7578"/>
        <w:sz w:val="18"/>
        <w:szCs w:val="18"/>
      </w:rPr>
      <w:t xml:space="preserve">Tel: (615) </w:t>
    </w:r>
    <w:r w:rsidR="004313EE" w:rsidRPr="004313EE">
      <w:rPr>
        <w:rFonts w:eastAsia="Open Sans" w:cs="Open Sans"/>
        <w:color w:val="7E7578"/>
        <w:sz w:val="18"/>
        <w:szCs w:val="18"/>
      </w:rPr>
      <w:t xml:space="preserve">000-1234 • Fax: </w:t>
    </w:r>
    <w:r>
      <w:rPr>
        <w:rFonts w:eastAsia="Open Sans" w:cs="Open Sans"/>
        <w:color w:val="7E7578"/>
        <w:sz w:val="18"/>
        <w:szCs w:val="18"/>
      </w:rPr>
      <w:t xml:space="preserve">(615) </w:t>
    </w:r>
    <w:r w:rsidR="004313EE" w:rsidRPr="004313EE">
      <w:rPr>
        <w:rFonts w:eastAsia="Open Sans" w:cs="Open Sans"/>
        <w:color w:val="7E7578"/>
        <w:sz w:val="18"/>
        <w:szCs w:val="18"/>
      </w:rPr>
      <w:t>000-1234 • tn.gov/</w:t>
    </w:r>
    <w:r>
      <w:rPr>
        <w:rFonts w:eastAsia="Open Sans" w:cs="Open Sans"/>
        <w:color w:val="7E7578"/>
        <w:sz w:val="18"/>
        <w:szCs w:val="18"/>
      </w:rPr>
      <w:t>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F345" w14:textId="77777777" w:rsidR="00E47E8E" w:rsidRDefault="00E47E8E">
    <w:pPr>
      <w:pStyle w:val="Footer"/>
    </w:pPr>
  </w:p>
  <w:p w14:paraId="2FCD6566" w14:textId="77777777" w:rsidR="008831C4" w:rsidRPr="008831C4" w:rsidRDefault="008831C4" w:rsidP="008831C4">
    <w:pPr>
      <w:spacing w:before="59" w:line="216" w:lineRule="exact"/>
      <w:ind w:right="-40"/>
      <w:rPr>
        <w:rFonts w:eastAsia="Open Sans" w:cs="Open Sans"/>
        <w:color w:val="7E75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4F15" w14:textId="77777777" w:rsidR="007A6C35" w:rsidRDefault="007A6C35" w:rsidP="0089763D">
      <w:r>
        <w:separator/>
      </w:r>
    </w:p>
  </w:footnote>
  <w:footnote w:type="continuationSeparator" w:id="0">
    <w:p w14:paraId="5484EA85" w14:textId="77777777" w:rsidR="007A6C35" w:rsidRDefault="007A6C35" w:rsidP="0089763D">
      <w:r>
        <w:continuationSeparator/>
      </w:r>
    </w:p>
  </w:footnote>
  <w:footnote w:type="continuationNotice" w:id="1">
    <w:p w14:paraId="68DCFA47" w14:textId="77777777" w:rsidR="007A6C35" w:rsidRDefault="007A6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B625" w14:textId="77777777" w:rsidR="0089763D" w:rsidRDefault="0089763D">
    <w:pPr>
      <w:pStyle w:val="Header"/>
    </w:pPr>
  </w:p>
  <w:p w14:paraId="5AD5853A"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BA4F" w14:textId="77777777" w:rsidR="008831C4" w:rsidRDefault="008831C4">
    <w:pPr>
      <w:pStyle w:val="Header"/>
    </w:pPr>
    <w:r>
      <w:rPr>
        <w:noProof/>
      </w:rPr>
      <w:drawing>
        <wp:anchor distT="0" distB="0" distL="114300" distR="114300" simplePos="0" relativeHeight="251658240" behindDoc="0" locked="0" layoutInCell="1" allowOverlap="1" wp14:anchorId="6C349CAD" wp14:editId="396B7828">
          <wp:simplePos x="0" y="0"/>
          <wp:positionH relativeFrom="column">
            <wp:posOffset>0</wp:posOffset>
          </wp:positionH>
          <wp:positionV relativeFrom="paragraph">
            <wp:posOffset>0</wp:posOffset>
          </wp:positionV>
          <wp:extent cx="1486893" cy="585647"/>
          <wp:effectExtent l="0" t="0" r="0" b="0"/>
          <wp:wrapNone/>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4BC1"/>
    <w:multiLevelType w:val="hybridMultilevel"/>
    <w:tmpl w:val="EA2EA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33BD3"/>
    <w:multiLevelType w:val="hybridMultilevel"/>
    <w:tmpl w:val="A550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22437"/>
    <w:multiLevelType w:val="hybridMultilevel"/>
    <w:tmpl w:val="2D4C3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D14BBC"/>
    <w:multiLevelType w:val="hybridMultilevel"/>
    <w:tmpl w:val="5256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3675A"/>
    <w:multiLevelType w:val="hybridMultilevel"/>
    <w:tmpl w:val="59AE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57E0B"/>
    <w:multiLevelType w:val="hybridMultilevel"/>
    <w:tmpl w:val="89168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314036"/>
    <w:multiLevelType w:val="hybridMultilevel"/>
    <w:tmpl w:val="2DEE71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C520431"/>
    <w:multiLevelType w:val="hybridMultilevel"/>
    <w:tmpl w:val="F3AEE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A7A4A"/>
    <w:multiLevelType w:val="hybridMultilevel"/>
    <w:tmpl w:val="662E9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8A3F5F"/>
    <w:multiLevelType w:val="hybridMultilevel"/>
    <w:tmpl w:val="013E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C2370"/>
    <w:multiLevelType w:val="hybridMultilevel"/>
    <w:tmpl w:val="8B1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8"/>
  </w:num>
  <w:num w:numId="5">
    <w:abstractNumId w:val="0"/>
  </w:num>
  <w:num w:numId="6">
    <w:abstractNumId w:val="3"/>
  </w:num>
  <w:num w:numId="7">
    <w:abstractNumId w:val="2"/>
  </w:num>
  <w:num w:numId="8">
    <w:abstractNumId w:val="5"/>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NjexMLU0MDMzMjdT0lEKTi0uzszPAykwqgUA9/AfKCwAAAA="/>
  </w:docVars>
  <w:rsids>
    <w:rsidRoot w:val="008713A6"/>
    <w:rsid w:val="00025247"/>
    <w:rsid w:val="000279E2"/>
    <w:rsid w:val="00040A73"/>
    <w:rsid w:val="000766BA"/>
    <w:rsid w:val="000827FD"/>
    <w:rsid w:val="000849CF"/>
    <w:rsid w:val="000E35E4"/>
    <w:rsid w:val="000F56C0"/>
    <w:rsid w:val="00114B26"/>
    <w:rsid w:val="0012065C"/>
    <w:rsid w:val="00124C93"/>
    <w:rsid w:val="00134746"/>
    <w:rsid w:val="001A7167"/>
    <w:rsid w:val="001D431E"/>
    <w:rsid w:val="002036ED"/>
    <w:rsid w:val="00245973"/>
    <w:rsid w:val="002808F4"/>
    <w:rsid w:val="00297233"/>
    <w:rsid w:val="002C0A6B"/>
    <w:rsid w:val="002D2D69"/>
    <w:rsid w:val="002F12AD"/>
    <w:rsid w:val="002F1B4F"/>
    <w:rsid w:val="00306054"/>
    <w:rsid w:val="00310712"/>
    <w:rsid w:val="00323104"/>
    <w:rsid w:val="00364BE0"/>
    <w:rsid w:val="003D0A81"/>
    <w:rsid w:val="00425C99"/>
    <w:rsid w:val="004313EE"/>
    <w:rsid w:val="00444EAE"/>
    <w:rsid w:val="00454B3F"/>
    <w:rsid w:val="00480EDA"/>
    <w:rsid w:val="004B7887"/>
    <w:rsid w:val="004E450F"/>
    <w:rsid w:val="004F3F52"/>
    <w:rsid w:val="00542B2B"/>
    <w:rsid w:val="00547EB3"/>
    <w:rsid w:val="005616B1"/>
    <w:rsid w:val="005742AC"/>
    <w:rsid w:val="005771CF"/>
    <w:rsid w:val="0059096E"/>
    <w:rsid w:val="005C2AEA"/>
    <w:rsid w:val="005C696F"/>
    <w:rsid w:val="005D4A5B"/>
    <w:rsid w:val="005E3DBB"/>
    <w:rsid w:val="00647274"/>
    <w:rsid w:val="00665EBF"/>
    <w:rsid w:val="00667183"/>
    <w:rsid w:val="00671B7E"/>
    <w:rsid w:val="0068215D"/>
    <w:rsid w:val="006F14EE"/>
    <w:rsid w:val="00732751"/>
    <w:rsid w:val="0074324E"/>
    <w:rsid w:val="00763238"/>
    <w:rsid w:val="00772246"/>
    <w:rsid w:val="007A3270"/>
    <w:rsid w:val="007A45CA"/>
    <w:rsid w:val="007A6C35"/>
    <w:rsid w:val="007D7DAC"/>
    <w:rsid w:val="007E2FC9"/>
    <w:rsid w:val="007E3732"/>
    <w:rsid w:val="007E40C2"/>
    <w:rsid w:val="007F4A7A"/>
    <w:rsid w:val="00802646"/>
    <w:rsid w:val="00802B89"/>
    <w:rsid w:val="008713A6"/>
    <w:rsid w:val="008831C4"/>
    <w:rsid w:val="0089270D"/>
    <w:rsid w:val="0089763D"/>
    <w:rsid w:val="008B1AE4"/>
    <w:rsid w:val="008B4FC9"/>
    <w:rsid w:val="008B779F"/>
    <w:rsid w:val="008D0991"/>
    <w:rsid w:val="008D6DC4"/>
    <w:rsid w:val="009264E5"/>
    <w:rsid w:val="00945516"/>
    <w:rsid w:val="009A343D"/>
    <w:rsid w:val="009C5A48"/>
    <w:rsid w:val="00A34902"/>
    <w:rsid w:val="00A878C4"/>
    <w:rsid w:val="00AA5241"/>
    <w:rsid w:val="00AC2D86"/>
    <w:rsid w:val="00AC725A"/>
    <w:rsid w:val="00B312A3"/>
    <w:rsid w:val="00B34489"/>
    <w:rsid w:val="00B80B1E"/>
    <w:rsid w:val="00B92A4B"/>
    <w:rsid w:val="00BD7B68"/>
    <w:rsid w:val="00C41931"/>
    <w:rsid w:val="00C44247"/>
    <w:rsid w:val="00C51C5C"/>
    <w:rsid w:val="00CC73CB"/>
    <w:rsid w:val="00D16BB8"/>
    <w:rsid w:val="00DB0E0A"/>
    <w:rsid w:val="00DD277F"/>
    <w:rsid w:val="00E0377C"/>
    <w:rsid w:val="00E36359"/>
    <w:rsid w:val="00E47E8E"/>
    <w:rsid w:val="00E96F29"/>
    <w:rsid w:val="00EA1432"/>
    <w:rsid w:val="00F0287E"/>
    <w:rsid w:val="00F224F0"/>
    <w:rsid w:val="00F4799C"/>
    <w:rsid w:val="00F55158"/>
    <w:rsid w:val="00F764F0"/>
    <w:rsid w:val="00F80CDC"/>
    <w:rsid w:val="00F83B4C"/>
    <w:rsid w:val="00F9630E"/>
    <w:rsid w:val="00FC494A"/>
    <w:rsid w:val="00FC7F4F"/>
    <w:rsid w:val="7417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1BB15"/>
  <w15:docId w15:val="{E01FE254-A4D2-4EDF-83BD-F1661938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224F0"/>
    <w:rPr>
      <w:rFonts w:ascii="Open Sans" w:hAnsi="Open Sans"/>
      <w:sz w:val="20"/>
    </w:r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926"/>
    </w:pPr>
    <w:rPr>
      <w:rFonts w:eastAsia="Open Sans"/>
      <w:szCs w:val="20"/>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character" w:styleId="Hyperlink">
    <w:name w:val="Hyperlink"/>
    <w:basedOn w:val="DefaultParagraphFont"/>
    <w:uiPriority w:val="99"/>
    <w:unhideWhenUsed/>
    <w:rsid w:val="008713A6"/>
    <w:rPr>
      <w:color w:val="0000FF" w:themeColor="hyperlink"/>
      <w:u w:val="single"/>
    </w:rPr>
  </w:style>
  <w:style w:type="character" w:styleId="UnresolvedMention">
    <w:name w:val="Unresolved Mention"/>
    <w:basedOn w:val="DefaultParagraphFont"/>
    <w:uiPriority w:val="99"/>
    <w:semiHidden/>
    <w:unhideWhenUsed/>
    <w:rsid w:val="008713A6"/>
    <w:rPr>
      <w:color w:val="605E5C"/>
      <w:shd w:val="clear" w:color="auto" w:fill="E1DFDD"/>
    </w:rPr>
  </w:style>
  <w:style w:type="character" w:styleId="FollowedHyperlink">
    <w:name w:val="FollowedHyperlink"/>
    <w:basedOn w:val="DefaultParagraphFont"/>
    <w:uiPriority w:val="99"/>
    <w:semiHidden/>
    <w:unhideWhenUsed/>
    <w:rsid w:val="00C51C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3494">
      <w:bodyDiv w:val="1"/>
      <w:marLeft w:val="0"/>
      <w:marRight w:val="0"/>
      <w:marTop w:val="0"/>
      <w:marBottom w:val="0"/>
      <w:divBdr>
        <w:top w:val="none" w:sz="0" w:space="0" w:color="auto"/>
        <w:left w:val="none" w:sz="0" w:space="0" w:color="auto"/>
        <w:bottom w:val="none" w:sz="0" w:space="0" w:color="auto"/>
        <w:right w:val="none" w:sz="0" w:space="0" w:color="auto"/>
      </w:divBdr>
    </w:div>
    <w:div w:id="301469879">
      <w:bodyDiv w:val="1"/>
      <w:marLeft w:val="0"/>
      <w:marRight w:val="0"/>
      <w:marTop w:val="0"/>
      <w:marBottom w:val="0"/>
      <w:divBdr>
        <w:top w:val="none" w:sz="0" w:space="0" w:color="auto"/>
        <w:left w:val="none" w:sz="0" w:space="0" w:color="auto"/>
        <w:bottom w:val="none" w:sz="0" w:space="0" w:color="auto"/>
        <w:right w:val="none" w:sz="0" w:space="0" w:color="auto"/>
      </w:divBdr>
    </w:div>
    <w:div w:id="308872716">
      <w:bodyDiv w:val="1"/>
      <w:marLeft w:val="0"/>
      <w:marRight w:val="0"/>
      <w:marTop w:val="0"/>
      <w:marBottom w:val="0"/>
      <w:divBdr>
        <w:top w:val="none" w:sz="0" w:space="0" w:color="auto"/>
        <w:left w:val="none" w:sz="0" w:space="0" w:color="auto"/>
        <w:bottom w:val="none" w:sz="0" w:space="0" w:color="auto"/>
        <w:right w:val="none" w:sz="0" w:space="0" w:color="auto"/>
      </w:divBdr>
    </w:div>
    <w:div w:id="491021158">
      <w:bodyDiv w:val="1"/>
      <w:marLeft w:val="0"/>
      <w:marRight w:val="0"/>
      <w:marTop w:val="0"/>
      <w:marBottom w:val="0"/>
      <w:divBdr>
        <w:top w:val="none" w:sz="0" w:space="0" w:color="auto"/>
        <w:left w:val="none" w:sz="0" w:space="0" w:color="auto"/>
        <w:bottom w:val="none" w:sz="0" w:space="0" w:color="auto"/>
        <w:right w:val="none" w:sz="0" w:space="0" w:color="auto"/>
      </w:divBdr>
    </w:div>
    <w:div w:id="515657536">
      <w:bodyDiv w:val="1"/>
      <w:marLeft w:val="0"/>
      <w:marRight w:val="0"/>
      <w:marTop w:val="0"/>
      <w:marBottom w:val="0"/>
      <w:divBdr>
        <w:top w:val="none" w:sz="0" w:space="0" w:color="auto"/>
        <w:left w:val="none" w:sz="0" w:space="0" w:color="auto"/>
        <w:bottom w:val="none" w:sz="0" w:space="0" w:color="auto"/>
        <w:right w:val="none" w:sz="0" w:space="0" w:color="auto"/>
      </w:divBdr>
    </w:div>
    <w:div w:id="860585440">
      <w:bodyDiv w:val="1"/>
      <w:marLeft w:val="0"/>
      <w:marRight w:val="0"/>
      <w:marTop w:val="0"/>
      <w:marBottom w:val="0"/>
      <w:divBdr>
        <w:top w:val="none" w:sz="0" w:space="0" w:color="auto"/>
        <w:left w:val="none" w:sz="0" w:space="0" w:color="auto"/>
        <w:bottom w:val="none" w:sz="0" w:space="0" w:color="auto"/>
        <w:right w:val="none" w:sz="0" w:space="0" w:color="auto"/>
      </w:divBdr>
    </w:div>
    <w:div w:id="1095714106">
      <w:bodyDiv w:val="1"/>
      <w:marLeft w:val="0"/>
      <w:marRight w:val="0"/>
      <w:marTop w:val="0"/>
      <w:marBottom w:val="0"/>
      <w:divBdr>
        <w:top w:val="none" w:sz="0" w:space="0" w:color="auto"/>
        <w:left w:val="none" w:sz="0" w:space="0" w:color="auto"/>
        <w:bottom w:val="none" w:sz="0" w:space="0" w:color="auto"/>
        <w:right w:val="none" w:sz="0" w:space="0" w:color="auto"/>
      </w:divBdr>
    </w:div>
    <w:div w:id="1238320220">
      <w:bodyDiv w:val="1"/>
      <w:marLeft w:val="0"/>
      <w:marRight w:val="0"/>
      <w:marTop w:val="0"/>
      <w:marBottom w:val="0"/>
      <w:divBdr>
        <w:top w:val="none" w:sz="0" w:space="0" w:color="auto"/>
        <w:left w:val="none" w:sz="0" w:space="0" w:color="auto"/>
        <w:bottom w:val="none" w:sz="0" w:space="0" w:color="auto"/>
        <w:right w:val="none" w:sz="0" w:space="0" w:color="auto"/>
      </w:divBdr>
    </w:div>
    <w:div w:id="1283999298">
      <w:bodyDiv w:val="1"/>
      <w:marLeft w:val="0"/>
      <w:marRight w:val="0"/>
      <w:marTop w:val="0"/>
      <w:marBottom w:val="0"/>
      <w:divBdr>
        <w:top w:val="none" w:sz="0" w:space="0" w:color="auto"/>
        <w:left w:val="none" w:sz="0" w:space="0" w:color="auto"/>
        <w:bottom w:val="none" w:sz="0" w:space="0" w:color="auto"/>
        <w:right w:val="none" w:sz="0" w:space="0" w:color="auto"/>
      </w:divBdr>
    </w:div>
    <w:div w:id="1284650085">
      <w:bodyDiv w:val="1"/>
      <w:marLeft w:val="0"/>
      <w:marRight w:val="0"/>
      <w:marTop w:val="0"/>
      <w:marBottom w:val="0"/>
      <w:divBdr>
        <w:top w:val="none" w:sz="0" w:space="0" w:color="auto"/>
        <w:left w:val="none" w:sz="0" w:space="0" w:color="auto"/>
        <w:bottom w:val="none" w:sz="0" w:space="0" w:color="auto"/>
        <w:right w:val="none" w:sz="0" w:space="0" w:color="auto"/>
      </w:divBdr>
    </w:div>
    <w:div w:id="1311012030">
      <w:bodyDiv w:val="1"/>
      <w:marLeft w:val="0"/>
      <w:marRight w:val="0"/>
      <w:marTop w:val="0"/>
      <w:marBottom w:val="0"/>
      <w:divBdr>
        <w:top w:val="none" w:sz="0" w:space="0" w:color="auto"/>
        <w:left w:val="none" w:sz="0" w:space="0" w:color="auto"/>
        <w:bottom w:val="none" w:sz="0" w:space="0" w:color="auto"/>
        <w:right w:val="none" w:sz="0" w:space="0" w:color="auto"/>
      </w:divBdr>
    </w:div>
    <w:div w:id="1329864230">
      <w:bodyDiv w:val="1"/>
      <w:marLeft w:val="0"/>
      <w:marRight w:val="0"/>
      <w:marTop w:val="0"/>
      <w:marBottom w:val="0"/>
      <w:divBdr>
        <w:top w:val="none" w:sz="0" w:space="0" w:color="auto"/>
        <w:left w:val="none" w:sz="0" w:space="0" w:color="auto"/>
        <w:bottom w:val="none" w:sz="0" w:space="0" w:color="auto"/>
        <w:right w:val="none" w:sz="0" w:space="0" w:color="auto"/>
      </w:divBdr>
    </w:div>
    <w:div w:id="1350914173">
      <w:bodyDiv w:val="1"/>
      <w:marLeft w:val="0"/>
      <w:marRight w:val="0"/>
      <w:marTop w:val="0"/>
      <w:marBottom w:val="0"/>
      <w:divBdr>
        <w:top w:val="none" w:sz="0" w:space="0" w:color="auto"/>
        <w:left w:val="none" w:sz="0" w:space="0" w:color="auto"/>
        <w:bottom w:val="none" w:sz="0" w:space="0" w:color="auto"/>
        <w:right w:val="none" w:sz="0" w:space="0" w:color="auto"/>
      </w:divBdr>
    </w:div>
    <w:div w:id="1364867239">
      <w:bodyDiv w:val="1"/>
      <w:marLeft w:val="0"/>
      <w:marRight w:val="0"/>
      <w:marTop w:val="0"/>
      <w:marBottom w:val="0"/>
      <w:divBdr>
        <w:top w:val="none" w:sz="0" w:space="0" w:color="auto"/>
        <w:left w:val="none" w:sz="0" w:space="0" w:color="auto"/>
        <w:bottom w:val="none" w:sz="0" w:space="0" w:color="auto"/>
        <w:right w:val="none" w:sz="0" w:space="0" w:color="auto"/>
      </w:divBdr>
    </w:div>
    <w:div w:id="1369448572">
      <w:bodyDiv w:val="1"/>
      <w:marLeft w:val="0"/>
      <w:marRight w:val="0"/>
      <w:marTop w:val="0"/>
      <w:marBottom w:val="0"/>
      <w:divBdr>
        <w:top w:val="none" w:sz="0" w:space="0" w:color="auto"/>
        <w:left w:val="none" w:sz="0" w:space="0" w:color="auto"/>
        <w:bottom w:val="none" w:sz="0" w:space="0" w:color="auto"/>
        <w:right w:val="none" w:sz="0" w:space="0" w:color="auto"/>
      </w:divBdr>
    </w:div>
    <w:div w:id="1718892492">
      <w:bodyDiv w:val="1"/>
      <w:marLeft w:val="0"/>
      <w:marRight w:val="0"/>
      <w:marTop w:val="0"/>
      <w:marBottom w:val="0"/>
      <w:divBdr>
        <w:top w:val="none" w:sz="0" w:space="0" w:color="auto"/>
        <w:left w:val="none" w:sz="0" w:space="0" w:color="auto"/>
        <w:bottom w:val="none" w:sz="0" w:space="0" w:color="auto"/>
        <w:right w:val="none" w:sz="0" w:space="0" w:color="auto"/>
      </w:divBdr>
      <w:divsChild>
        <w:div w:id="539975115">
          <w:marLeft w:val="0"/>
          <w:marRight w:val="0"/>
          <w:marTop w:val="0"/>
          <w:marBottom w:val="0"/>
          <w:divBdr>
            <w:top w:val="none" w:sz="0" w:space="0" w:color="auto"/>
            <w:left w:val="none" w:sz="0" w:space="0" w:color="auto"/>
            <w:bottom w:val="none" w:sz="0" w:space="0" w:color="auto"/>
            <w:right w:val="none" w:sz="0" w:space="0" w:color="auto"/>
          </w:divBdr>
        </w:div>
      </w:divsChild>
    </w:div>
    <w:div w:id="1749109700">
      <w:bodyDiv w:val="1"/>
      <w:marLeft w:val="0"/>
      <w:marRight w:val="0"/>
      <w:marTop w:val="0"/>
      <w:marBottom w:val="0"/>
      <w:divBdr>
        <w:top w:val="none" w:sz="0" w:space="0" w:color="auto"/>
        <w:left w:val="none" w:sz="0" w:space="0" w:color="auto"/>
        <w:bottom w:val="none" w:sz="0" w:space="0" w:color="auto"/>
        <w:right w:val="none" w:sz="0" w:space="0" w:color="auto"/>
      </w:divBdr>
    </w:div>
    <w:div w:id="1805853641">
      <w:bodyDiv w:val="1"/>
      <w:marLeft w:val="0"/>
      <w:marRight w:val="0"/>
      <w:marTop w:val="0"/>
      <w:marBottom w:val="0"/>
      <w:divBdr>
        <w:top w:val="none" w:sz="0" w:space="0" w:color="auto"/>
        <w:left w:val="none" w:sz="0" w:space="0" w:color="auto"/>
        <w:bottom w:val="none" w:sz="0" w:space="0" w:color="auto"/>
        <w:right w:val="none" w:sz="0" w:space="0" w:color="auto"/>
      </w:divBdr>
    </w:div>
    <w:div w:id="1872573729">
      <w:bodyDiv w:val="1"/>
      <w:marLeft w:val="0"/>
      <w:marRight w:val="0"/>
      <w:marTop w:val="0"/>
      <w:marBottom w:val="0"/>
      <w:divBdr>
        <w:top w:val="none" w:sz="0" w:space="0" w:color="auto"/>
        <w:left w:val="none" w:sz="0" w:space="0" w:color="auto"/>
        <w:bottom w:val="none" w:sz="0" w:space="0" w:color="auto"/>
        <w:right w:val="none" w:sz="0" w:space="0" w:color="auto"/>
      </w:divBdr>
    </w:div>
    <w:div w:id="213486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ncloud.tn.gov/owncloud/index.php/s/OhYApMXGtpaHzDx" TargetMode="External"/><Relationship Id="rId18" Type="http://schemas.openxmlformats.org/officeDocument/2006/relationships/image" Target="media/image1.emf"/><Relationship Id="rId26" Type="http://schemas.openxmlformats.org/officeDocument/2006/relationships/hyperlink" Target="https://tncloud.tn.gov/owncloud/index.php/s/9wUpVg2tsm9L8fQ" TargetMode="External"/><Relationship Id="rId39" Type="http://schemas.openxmlformats.org/officeDocument/2006/relationships/hyperlink" Target="https://www.tn.gov/generalservices/procurement/central-procurement-office--cpo-/supplier-information.html" TargetMode="External"/><Relationship Id="rId21" Type="http://schemas.openxmlformats.org/officeDocument/2006/relationships/hyperlink" Target="https://urldefense.com/v3/__https:/infuse-mn.gov/assets/MMCAP*20Infuse*20Application*20*28Fillable*29.*20v9_tcm1123-369301.pdf__;JSUlJSUl!!PRtDf9A!51n1MKQilp0vSPhksmC2YIvB8NSwKRAXo6-fGmC7CXSHk8rdR7mlfeBHOUvzPsyTknHC$" TargetMode="External"/><Relationship Id="rId34" Type="http://schemas.openxmlformats.org/officeDocument/2006/relationships/hyperlink" Target="mailto:Kelly.X.Johns@tn.gov" TargetMode="External"/><Relationship Id="rId42" Type="http://schemas.openxmlformats.org/officeDocument/2006/relationships/hyperlink" Target="https://www.youtube.com/watch?v=TmYWvK2Wh1Y" TargetMode="External"/><Relationship Id="rId47" Type="http://schemas.openxmlformats.org/officeDocument/2006/relationships/hyperlink" Target="https://www.youtube.com/watch?v=nFxpHf1PthA" TargetMode="External"/><Relationship Id="rId50" Type="http://schemas.openxmlformats.org/officeDocument/2006/relationships/hyperlink" Target="https://www.youtube.com/watch?v=NG8ULSo3GEc"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ncloud.tn.gov/owncloud/index.php/s/OhYApMXGtpaHzDx" TargetMode="External"/><Relationship Id="rId29" Type="http://schemas.openxmlformats.org/officeDocument/2006/relationships/hyperlink" Target="https://urldefense.com/v3/__https:/www.globalpointofcare.abbott/en/support/product-installation-training/navica-brand/navica-binaxnow-ag-training.html__;!!PRtDf9A!60MxO4v3fULevYQWhLJlqNsrq9h5_ZxYVGmlhCgkdwkchC2ekFHnmG4ttaBgu_cwXzlLIg$" TargetMode="External"/><Relationship Id="rId11" Type="http://schemas.openxmlformats.org/officeDocument/2006/relationships/hyperlink" Target="https://hub.edison.tn.gov/psp/paprd_17/SUPPLIER/ERP/c/TN_PUBLIC_SUPPLIER.TN_SOURCING_CNTRCT.GBL?Page=TN_CNTRCT_DOC_PG&amp;Action=U&amp;ExactKeys=Y&amp;CNTRCT_ID=0000000000000000000048559&amp;SETID=SHARE" TargetMode="External"/><Relationship Id="rId24" Type="http://schemas.openxmlformats.org/officeDocument/2006/relationships/hyperlink" Target="https://www.tn.gov/content/dam/tn/health/documents/cedep/novel-coronavirus/TDH_BinaxNOW_General_Guidance.pdf" TargetMode="External"/><Relationship Id="rId32" Type="http://schemas.openxmlformats.org/officeDocument/2006/relationships/hyperlink" Target="https://urldefense.com/v3/__https:/www.fda.gov/medical-devices/coronavirus-covid-19-and-medical-devices/faqs-testing-sars-cov-2*general-screening-asymptomatic__;Iw!!PRtDf9A!60MxO4v3fULevYQWhLJlqNsrq9h5_ZxYVGmlhCgkdwkchC2ekFHnmG4ttaBgu_f9xJt5ew$" TargetMode="External"/><Relationship Id="rId37" Type="http://schemas.openxmlformats.org/officeDocument/2006/relationships/hyperlink" Target="mailto:Tim.F.Jones@tn.gov" TargetMode="External"/><Relationship Id="rId40" Type="http://schemas.openxmlformats.org/officeDocument/2006/relationships/hyperlink" Target="https://www.youtube.com/watch?v=yPK2EDSfOqQ" TargetMode="External"/><Relationship Id="rId45" Type="http://schemas.openxmlformats.org/officeDocument/2006/relationships/hyperlink" Target="https://www.youtube.com/watch?v=nFxpHf1PthA" TargetMode="External"/><Relationship Id="rId53" Type="http://schemas.openxmlformats.org/officeDocument/2006/relationships/header" Target="head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hyperlink" Target="https://urldefense.com/v3/__https:/www.cms.gov/Regulations-and-Guidance/Legislation/CLIA__;!!PRtDf9A!60MxO4v3fULevYQWhLJlqNsrq9h5_ZxYVGmlhCgkdwkchC2ekFHnmG4ttaBgu_efO3sYWg$" TargetMode="External"/><Relationship Id="rId44" Type="http://schemas.openxmlformats.org/officeDocument/2006/relationships/hyperlink" Target="https://www.youtube.com/watch?v=TmYWvK2Wh1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b.edison.tn.gov/psp/paprd_19/SUPPLIER/ERP/c/TN_PUBLIC_SUPPLIER.TN_SOURCING_CNTRCT.GBL?Page=TN_CNTRCT_DOC_PG&amp;Action=U&amp;ExactKeys=Y&amp;CNTRCT_ID=0000000000000000000037896&amp;SETID=SHARE" TargetMode="External"/><Relationship Id="rId22" Type="http://schemas.openxmlformats.org/officeDocument/2006/relationships/hyperlink" Target="mailto:Joshua.Polk@tn.gov" TargetMode="External"/><Relationship Id="rId27" Type="http://schemas.openxmlformats.org/officeDocument/2006/relationships/hyperlink" Target="mailto:DJ.Irving@tn.gov" TargetMode="External"/><Relationship Id="rId30" Type="http://schemas.openxmlformats.org/officeDocument/2006/relationships/hyperlink" Target="mailto:COVID.Laboratory@TN.gov" TargetMode="External"/><Relationship Id="rId35" Type="http://schemas.openxmlformats.org/officeDocument/2006/relationships/hyperlink" Target="https://www.fda.gov/medical-devices/coronavirus-disease-2019-covid-19-emergency-use-authorizations-medical-devices/in-vitro-diagnostics-euas-antigen-diagnostic-tests-sars-cov-2" TargetMode="External"/><Relationship Id="rId43" Type="http://schemas.openxmlformats.org/officeDocument/2006/relationships/hyperlink" Target="https://www.youtube.com/watch?v=TmYWvK2Wh1Y" TargetMode="External"/><Relationship Id="rId48" Type="http://schemas.openxmlformats.org/officeDocument/2006/relationships/hyperlink" Target="https://www.youtube.com/watch?v=NG8ULSo3GEc"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tn.gov/content/dam/tn/generalservices/documents/cpo/swc-files/swc-532/SWC%20532%20Usage%20Instructions%2012.14.2021.pdf" TargetMode="External"/><Relationship Id="rId17" Type="http://schemas.openxmlformats.org/officeDocument/2006/relationships/hyperlink" Target="https://tncloud.tn.gov/owncloud/index.php/s/cdU3Vd5tegpVPSl" TargetMode="External"/><Relationship Id="rId25" Type="http://schemas.openxmlformats.org/officeDocument/2006/relationships/hyperlink" Target="https://www.tn.gov/content/dam/tn/health/documents/cedep/novel-coronavirus/POC-Reporting-Guidance.pdf" TargetMode="External"/><Relationship Id="rId33" Type="http://schemas.openxmlformats.org/officeDocument/2006/relationships/hyperlink" Target="mailto:Laitin.Beecham@tn.gov" TargetMode="External"/><Relationship Id="rId38" Type="http://schemas.openxmlformats.org/officeDocument/2006/relationships/hyperlink" Target="mailto:Lindsay.R.Oliveras@tn.gov" TargetMode="External"/><Relationship Id="rId46" Type="http://schemas.openxmlformats.org/officeDocument/2006/relationships/hyperlink" Target="https://www.youtube.com/watch?v=nFxpHf1PthA" TargetMode="External"/><Relationship Id="rId20" Type="http://schemas.openxmlformats.org/officeDocument/2006/relationships/hyperlink" Target="https://www.tn.gov/generalservices/procurement/central-procurement-office--cpo-/tn-smart-shop.html%20%20%20" TargetMode="External"/><Relationship Id="rId41" Type="http://schemas.openxmlformats.org/officeDocument/2006/relationships/hyperlink" Target="https://www.youtube.com/watch?app=desktop&amp;v=yPK2EDSfOqQ"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n.gov/content/dam/tn/generalservices/documents/cpo/swc-files/swc-387/SWC_387_MSP-UI_1-25-21.pdf" TargetMode="External"/><Relationship Id="rId23" Type="http://schemas.openxmlformats.org/officeDocument/2006/relationships/hyperlink" Target="https://www.tn.gov/content/dam/tn/health/documents/cedep/novel-coronavirus/Request_Binax_Supplies.pdf" TargetMode="External"/><Relationship Id="rId28" Type="http://schemas.openxmlformats.org/officeDocument/2006/relationships/hyperlink" Target="mailto:covid19.testing@tn.gov" TargetMode="External"/><Relationship Id="rId36" Type="http://schemas.openxmlformats.org/officeDocument/2006/relationships/hyperlink" Target="https://www.fda.gov/medical-devices/coronavirus-disease-2019-covid-19-emergency-use-authorizations-medical-devices/in-vitro-diagnostics-euas-molecular-diagnostic-tests-sars-cov-2" TargetMode="External"/><Relationship Id="rId49" Type="http://schemas.openxmlformats.org/officeDocument/2006/relationships/hyperlink" Target="https://www.youtube.com/watch?v=NG8ULSo3GE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102\Downloads\Blank-page-with-logo-only%20(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203622D1ECE449570A660B2E032B2" ma:contentTypeVersion="11" ma:contentTypeDescription="Create a new document." ma:contentTypeScope="" ma:versionID="f987a1e733235779ab3b057fa089f533">
  <xsd:schema xmlns:xsd="http://www.w3.org/2001/XMLSchema" xmlns:xs="http://www.w3.org/2001/XMLSchema" xmlns:p="http://schemas.microsoft.com/office/2006/metadata/properties" xmlns:ns2="92105bee-1e17-44d4-b41b-d43dab261d96" xmlns:ns3="ac78349c-2e92-44af-89e6-07da69690745" targetNamespace="http://schemas.microsoft.com/office/2006/metadata/properties" ma:root="true" ma:fieldsID="2e0a5fdca16bd6fa4afe748f66efdaee" ns2:_="" ns3:_="">
    <xsd:import namespace="92105bee-1e17-44d4-b41b-d43dab261d96"/>
    <xsd:import namespace="ac78349c-2e92-44af-89e6-07da69690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05bee-1e17-44d4-b41b-d43dab261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8349c-2e92-44af-89e6-07da696907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5FD17-5B07-460F-97B7-E6C547DC7D63}">
  <ds:schemaRefs>
    <ds:schemaRef ds:uri="http://schemas.openxmlformats.org/officeDocument/2006/bibliography"/>
  </ds:schemaRefs>
</ds:datastoreItem>
</file>

<file path=customXml/itemProps2.xml><?xml version="1.0" encoding="utf-8"?>
<ds:datastoreItem xmlns:ds="http://schemas.openxmlformats.org/officeDocument/2006/customXml" ds:itemID="{1C7F6AE7-023E-4367-899C-C4AF47193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C1FE10-628B-40AA-A6B5-35105CE6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05bee-1e17-44d4-b41b-d43dab261d96"/>
    <ds:schemaRef ds:uri="ac78349c-2e92-44af-89e6-07da69690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73C02-9441-477A-A198-69B7BA4B0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Blank-page-with-logo-only (17)</Template>
  <TotalTime>0</TotalTime>
  <Pages>5</Pages>
  <Words>1812</Words>
  <Characters>10330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subject/>
  <dc:creator>Melisa Fuhrmeister</dc:creator>
  <cp:keywords/>
  <dc:description/>
  <cp:lastModifiedBy>Melisa Fuhrmeister</cp:lastModifiedBy>
  <cp:revision>2</cp:revision>
  <cp:lastPrinted>2015-04-20T20:24:00Z</cp:lastPrinted>
  <dcterms:created xsi:type="dcterms:W3CDTF">2022-05-24T17:13:00Z</dcterms:created>
  <dcterms:modified xsi:type="dcterms:W3CDTF">2022-05-24T17:13:00Z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0x01010077B203622D1ECE449570A660B2E032B2</vt:lpwstr>
  </property>
</Properties>
</file>