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2EC9" w14:textId="796EC0A2" w:rsidR="00807254" w:rsidRPr="002B2C97" w:rsidRDefault="00807254" w:rsidP="00807254">
      <w:pPr>
        <w:bidi/>
        <w:spacing w:after="120"/>
        <w:jc w:val="center"/>
        <w:rPr>
          <w:rFonts w:cstheme="minorHAnsi"/>
          <w:b/>
          <w:bCs/>
          <w:sz w:val="34"/>
          <w:szCs w:val="34"/>
          <w:rtl/>
          <w:lang w:bidi="ar-EG"/>
        </w:rPr>
      </w:pPr>
      <w:r w:rsidRPr="002B2C97">
        <w:rPr>
          <w:rFonts w:cstheme="minorHAnsi"/>
          <w:b/>
          <w:bCs/>
          <w:sz w:val="34"/>
          <w:szCs w:val="34"/>
          <w:rtl/>
          <w:lang w:bidi="ar-EG"/>
        </w:rPr>
        <w:t xml:space="preserve">خطة العودة الآمنة إلى التعليم الحضوري </w:t>
      </w:r>
      <w:r w:rsidR="005B1532" w:rsidRPr="002B2C97">
        <w:rPr>
          <w:rFonts w:cstheme="minorHAnsi"/>
          <w:b/>
          <w:bCs/>
          <w:sz w:val="34"/>
          <w:szCs w:val="34"/>
          <w:rtl/>
          <w:lang w:bidi="ar-EG"/>
        </w:rPr>
        <w:br/>
      </w:r>
      <w:r w:rsidRPr="002B2C97">
        <w:rPr>
          <w:rFonts w:cstheme="minorHAnsi"/>
          <w:b/>
          <w:bCs/>
          <w:sz w:val="34"/>
          <w:szCs w:val="34"/>
          <w:rtl/>
          <w:lang w:bidi="ar-EG"/>
        </w:rPr>
        <w:t>واستمرار الخدمات</w:t>
      </w:r>
    </w:p>
    <w:p w14:paraId="7A057D54" w14:textId="3446EA87" w:rsidR="00807254" w:rsidRPr="002B2C97" w:rsidRDefault="00807254" w:rsidP="00807254">
      <w:pPr>
        <w:bidi/>
        <w:spacing w:after="120"/>
        <w:jc w:val="center"/>
        <w:rPr>
          <w:rFonts w:cstheme="minorHAnsi"/>
          <w:b/>
          <w:bCs/>
          <w:sz w:val="34"/>
          <w:szCs w:val="34"/>
          <w:rtl/>
          <w:lang w:bidi="ar-EG"/>
        </w:rPr>
      </w:pPr>
      <w:r w:rsidRPr="002B2C97">
        <w:rPr>
          <w:rFonts w:cstheme="minorHAnsi"/>
          <w:b/>
          <w:bCs/>
          <w:sz w:val="34"/>
          <w:szCs w:val="34"/>
          <w:rtl/>
          <w:lang w:bidi="ar-EG"/>
        </w:rPr>
        <w:t xml:space="preserve"> إرشادات الملحق</w:t>
      </w:r>
    </w:p>
    <w:p w14:paraId="1F9FFCBC" w14:textId="1B9F5065" w:rsidR="00E07822" w:rsidRPr="002B2C97" w:rsidRDefault="00E07822" w:rsidP="00E07822">
      <w:pPr>
        <w:bidi/>
        <w:spacing w:after="120"/>
        <w:jc w:val="center"/>
        <w:rPr>
          <w:rFonts w:cstheme="minorHAnsi"/>
          <w:b/>
          <w:bCs/>
          <w:sz w:val="34"/>
          <w:szCs w:val="34"/>
          <w:rtl/>
        </w:rPr>
      </w:pPr>
      <w:r w:rsidRPr="002B2C97">
        <w:rPr>
          <w:rFonts w:cstheme="minorHAnsi" w:hint="cs"/>
          <w:b/>
          <w:bCs/>
          <w:sz w:val="34"/>
          <w:szCs w:val="34"/>
          <w:rtl/>
        </w:rPr>
        <w:t>2022-2023</w:t>
      </w:r>
    </w:p>
    <w:p w14:paraId="5CB7D9F4" w14:textId="1FCDC5FF" w:rsidR="00807254" w:rsidRPr="002B2C97" w:rsidRDefault="00807254" w:rsidP="00807254">
      <w:pPr>
        <w:bidi/>
        <w:rPr>
          <w:rFonts w:cstheme="minorHAnsi"/>
          <w:sz w:val="24"/>
          <w:szCs w:val="24"/>
          <w:rtl/>
          <w:lang w:bidi="ar-EG"/>
        </w:rPr>
      </w:pPr>
      <w:bookmarkStart w:id="0" w:name="_Hlk86309063"/>
      <w:r w:rsidRPr="002B2C97">
        <w:rPr>
          <w:rFonts w:cstheme="minorHAnsi"/>
          <w:sz w:val="24"/>
          <w:szCs w:val="24"/>
          <w:rtl/>
          <w:lang w:bidi="ar-EG"/>
        </w:rPr>
        <w:t>إن هيئات التعليم المحلية (</w:t>
      </w:r>
      <w:r w:rsidRPr="002B2C97">
        <w:rPr>
          <w:rFonts w:cstheme="minorHAnsi"/>
          <w:sz w:val="24"/>
          <w:szCs w:val="24"/>
          <w:lang w:bidi="ar-EG"/>
        </w:rPr>
        <w:t>LEA</w:t>
      </w:r>
      <w:r w:rsidRPr="002B2C97">
        <w:rPr>
          <w:rFonts w:cstheme="minorHAnsi"/>
          <w:sz w:val="24"/>
          <w:szCs w:val="24"/>
          <w:rtl/>
          <w:lang w:bidi="ar-EG"/>
        </w:rPr>
        <w:t xml:space="preserve">) ملزمة بتحديث خطة العودة الآمنة إلى التعليم الحضوري واستمرار الخدمات كل ستة أشهر حتى </w:t>
      </w:r>
      <w:r w:rsidRPr="002B2C97">
        <w:rPr>
          <w:rFonts w:cstheme="minorHAnsi"/>
          <w:b/>
          <w:bCs/>
          <w:sz w:val="24"/>
          <w:szCs w:val="24"/>
          <w:rtl/>
          <w:lang w:bidi="ar-EG"/>
        </w:rPr>
        <w:t>30 سبتمبر 2023</w:t>
      </w:r>
      <w:r w:rsidRPr="002B2C97">
        <w:rPr>
          <w:rFonts w:cstheme="minorHAnsi"/>
          <w:sz w:val="24"/>
          <w:szCs w:val="24"/>
          <w:rtl/>
          <w:lang w:bidi="ar-EG"/>
        </w:rPr>
        <w:t xml:space="preserve">. وفي كل مرة، لا بد أن تسعى مؤسسات </w:t>
      </w:r>
      <w:r w:rsidRPr="002B2C97">
        <w:rPr>
          <w:rFonts w:cstheme="minorHAnsi"/>
          <w:sz w:val="24"/>
          <w:szCs w:val="24"/>
          <w:lang w:bidi="ar-EG"/>
        </w:rPr>
        <w:t>LEA</w:t>
      </w:r>
      <w:r w:rsidRPr="002B2C97">
        <w:rPr>
          <w:rFonts w:cstheme="minorHAnsi"/>
          <w:sz w:val="24"/>
          <w:szCs w:val="24"/>
          <w:rtl/>
          <w:lang w:bidi="ar-EG"/>
        </w:rPr>
        <w:t xml:space="preserve"> إلى الحصول على آراء الجماهير بشأن الخطة وأي تعديلات </w:t>
      </w:r>
      <w:r w:rsidR="00910587" w:rsidRPr="002B2C97">
        <w:rPr>
          <w:rFonts w:cstheme="minorHAnsi"/>
          <w:sz w:val="24"/>
          <w:szCs w:val="24"/>
          <w:rtl/>
          <w:lang w:bidi="ar-EG"/>
        </w:rPr>
        <w:t>ع</w:t>
      </w:r>
      <w:r w:rsidRPr="002B2C97">
        <w:rPr>
          <w:rFonts w:cstheme="minorHAnsi"/>
          <w:sz w:val="24"/>
          <w:szCs w:val="24"/>
          <w:rtl/>
          <w:lang w:bidi="ar-EG"/>
        </w:rPr>
        <w:t>ل</w:t>
      </w:r>
      <w:r w:rsidR="00910587" w:rsidRPr="002B2C97">
        <w:rPr>
          <w:rFonts w:cstheme="minorHAnsi"/>
          <w:sz w:val="24"/>
          <w:szCs w:val="24"/>
          <w:rtl/>
          <w:lang w:bidi="ar-EG"/>
        </w:rPr>
        <w:t>ي</w:t>
      </w:r>
      <w:r w:rsidRPr="002B2C97">
        <w:rPr>
          <w:rFonts w:cstheme="minorHAnsi"/>
          <w:sz w:val="24"/>
          <w:szCs w:val="24"/>
          <w:rtl/>
          <w:lang w:bidi="ar-EG"/>
        </w:rPr>
        <w:t>ها ولا بد أن تأخذ هذه الآراء في الاعتبار. الغرض من الخطة هو إبقاء أصحاب المصلحة على اطلاع.</w:t>
      </w:r>
    </w:p>
    <w:bookmarkEnd w:id="0"/>
    <w:p w14:paraId="14314FBE" w14:textId="074E380F" w:rsidR="00807254" w:rsidRPr="002B2C97" w:rsidRDefault="00807254" w:rsidP="00982D16">
      <w:pPr>
        <w:bidi/>
        <w:rPr>
          <w:rFonts w:cstheme="minorHAnsi"/>
          <w:sz w:val="24"/>
          <w:szCs w:val="24"/>
          <w:rtl/>
        </w:rPr>
      </w:pPr>
      <w:r w:rsidRPr="002B2C97">
        <w:rPr>
          <w:rFonts w:cstheme="minorHAnsi"/>
          <w:sz w:val="24"/>
          <w:szCs w:val="24"/>
          <w:rtl/>
          <w:lang w:bidi="ar-EG"/>
        </w:rPr>
        <w:t xml:space="preserve">يجب على كل مؤسسة </w:t>
      </w:r>
      <w:r w:rsidRPr="002B2C97">
        <w:rPr>
          <w:rFonts w:cstheme="minorHAnsi"/>
          <w:sz w:val="24"/>
          <w:szCs w:val="24"/>
          <w:lang w:bidi="ar-EG"/>
        </w:rPr>
        <w:t>LEA</w:t>
      </w:r>
      <w:r w:rsidRPr="002B2C97">
        <w:rPr>
          <w:rFonts w:cstheme="minorHAnsi"/>
          <w:sz w:val="24"/>
          <w:szCs w:val="24"/>
          <w:rtl/>
          <w:lang w:bidi="ar-EG"/>
        </w:rPr>
        <w:t xml:space="preserve"> استكمال الملحق وتحميله على مكتبة مستندات مؤسسات </w:t>
      </w:r>
      <w:r w:rsidRPr="002B2C97">
        <w:rPr>
          <w:rFonts w:cstheme="minorHAnsi"/>
          <w:sz w:val="24"/>
          <w:szCs w:val="24"/>
          <w:lang w:bidi="ar-EG"/>
        </w:rPr>
        <w:t>LEA</w:t>
      </w:r>
      <w:r w:rsidRPr="002B2C97">
        <w:rPr>
          <w:rFonts w:cstheme="minorHAnsi"/>
          <w:sz w:val="24"/>
          <w:szCs w:val="24"/>
          <w:rtl/>
          <w:lang w:bidi="ar-EG"/>
        </w:rPr>
        <w:t xml:space="preserve"> ونشرها على الموقع الخاص بؤسسة </w:t>
      </w:r>
      <w:r w:rsidRPr="002B2C97">
        <w:rPr>
          <w:rFonts w:cstheme="minorHAnsi"/>
          <w:sz w:val="24"/>
          <w:szCs w:val="24"/>
          <w:lang w:bidi="ar-EG"/>
        </w:rPr>
        <w:t>LEA</w:t>
      </w:r>
      <w:r w:rsidRPr="002B2C97">
        <w:rPr>
          <w:rFonts w:cstheme="minorHAnsi"/>
          <w:sz w:val="24"/>
          <w:szCs w:val="24"/>
          <w:rtl/>
          <w:lang w:bidi="ar-EG"/>
        </w:rPr>
        <w:t xml:space="preserve"> (</w:t>
      </w:r>
      <w:r w:rsidR="00982D16" w:rsidRPr="002B2C97">
        <w:rPr>
          <w:rFonts w:cstheme="minorHAnsi" w:hint="cs"/>
          <w:sz w:val="24"/>
          <w:szCs w:val="24"/>
          <w:rtl/>
        </w:rPr>
        <w:t>15 فبراير و15 سبتمبر</w:t>
      </w:r>
      <w:r w:rsidRPr="002B2C97">
        <w:rPr>
          <w:rFonts w:cstheme="minorHAnsi"/>
          <w:sz w:val="24"/>
          <w:szCs w:val="24"/>
          <w:rtl/>
          <w:lang w:bidi="ar-EG"/>
        </w:rPr>
        <w:t xml:space="preserve">). وكما كان الحال أثناء وضع الخطة، لا بد أن تستند التعديلات إلى آراء المجتمع وأن تتم مراجعتها والموافقة عليها من الهيئة الإدارية قبل نشرها على موقع مؤسسة </w:t>
      </w:r>
      <w:r w:rsidRPr="002B2C97">
        <w:rPr>
          <w:rFonts w:cstheme="minorHAnsi"/>
          <w:sz w:val="24"/>
          <w:szCs w:val="24"/>
          <w:lang w:bidi="ar-EG"/>
        </w:rPr>
        <w:t>LEA</w:t>
      </w:r>
      <w:r w:rsidRPr="002B2C97">
        <w:rPr>
          <w:rFonts w:cstheme="minorHAnsi"/>
          <w:sz w:val="24"/>
          <w:szCs w:val="24"/>
          <w:rtl/>
          <w:lang w:bidi="ar-EG"/>
        </w:rPr>
        <w:t xml:space="preserve"> الإلكتروني المتاح للجمهور.</w:t>
      </w:r>
    </w:p>
    <w:p w14:paraId="42CCE74B" w14:textId="50506851" w:rsidR="00807254" w:rsidRPr="002B2C97" w:rsidRDefault="7ECF962D" w:rsidP="00807254">
      <w:pPr>
        <w:bidi/>
        <w:rPr>
          <w:rFonts w:cstheme="minorHAnsi"/>
          <w:sz w:val="24"/>
          <w:szCs w:val="24"/>
          <w:rtl/>
          <w:lang w:bidi="ar-EG"/>
        </w:rPr>
      </w:pPr>
      <w:r w:rsidRPr="002B2C97">
        <w:rPr>
          <w:rFonts w:cstheme="minorHAnsi"/>
          <w:sz w:val="24"/>
          <w:szCs w:val="24"/>
          <w:rtl/>
          <w:lang w:bidi="ar-EG"/>
        </w:rPr>
        <w:t>يرجى مراعاة ما يلي عند استكمال الملحق:</w:t>
      </w:r>
    </w:p>
    <w:p w14:paraId="49D1F5B9" w14:textId="09855262" w:rsidR="00807254" w:rsidRPr="002B2C97" w:rsidRDefault="00807254" w:rsidP="00807254">
      <w:pPr>
        <w:pStyle w:val="Default"/>
        <w:numPr>
          <w:ilvl w:val="0"/>
          <w:numId w:val="3"/>
        </w:numPr>
        <w:bidi/>
        <w:rPr>
          <w:rFonts w:asciiTheme="minorHAnsi" w:hAnsiTheme="minorHAnsi" w:cstheme="minorHAnsi"/>
          <w:rtl/>
          <w:lang w:bidi="ar-EG"/>
        </w:rPr>
      </w:pPr>
      <w:r w:rsidRPr="002B2C97">
        <w:rPr>
          <w:rFonts w:asciiTheme="minorHAnsi" w:hAnsiTheme="minorHAnsi" w:cstheme="minorHAnsi"/>
          <w:rtl/>
          <w:lang w:bidi="ar-EG"/>
        </w:rPr>
        <w:t xml:space="preserve">تأكد من أن مؤسسة </w:t>
      </w:r>
      <w:r w:rsidRPr="002B2C97">
        <w:rPr>
          <w:rFonts w:asciiTheme="minorHAnsi" w:hAnsiTheme="minorHAnsi" w:cstheme="minorHAnsi"/>
          <w:lang w:bidi="ar-EG"/>
        </w:rPr>
        <w:t>LEA</w:t>
      </w:r>
      <w:r w:rsidRPr="002B2C97">
        <w:rPr>
          <w:rFonts w:asciiTheme="minorHAnsi" w:hAnsiTheme="minorHAnsi" w:cstheme="minorHAnsi"/>
          <w:rtl/>
          <w:lang w:bidi="ar-EG"/>
        </w:rPr>
        <w:t xml:space="preserve"> استعانت بنماذج مشاركة متعددة تقدمها لأصحاب المصلحة. والأمثلة على ذلك قد تشمل الاستبيانات، واجتماعات اللجان الحضورية أو الافتراضية، والاجتماعات المفتوحة، أو فرص المشاركة الشاملة الأخرى.</w:t>
      </w:r>
    </w:p>
    <w:p w14:paraId="16CC8D01" w14:textId="6E63B386" w:rsidR="00807254" w:rsidRPr="002B2C97" w:rsidRDefault="00807254" w:rsidP="006513C8">
      <w:pPr>
        <w:pStyle w:val="Default"/>
        <w:numPr>
          <w:ilvl w:val="0"/>
          <w:numId w:val="3"/>
        </w:numPr>
        <w:bidi/>
        <w:rPr>
          <w:rFonts w:cstheme="minorHAnsi"/>
          <w:rtl/>
        </w:rPr>
      </w:pPr>
      <w:r w:rsidRPr="002B2C97">
        <w:rPr>
          <w:rFonts w:asciiTheme="minorHAnsi" w:hAnsiTheme="minorHAnsi" w:cstheme="minorHAnsi"/>
          <w:rtl/>
          <w:lang w:bidi="ar-EG"/>
        </w:rPr>
        <w:t xml:space="preserve"> يجب أن تشرك هيئات </w:t>
      </w:r>
      <w:r w:rsidRPr="002B2C97">
        <w:rPr>
          <w:rFonts w:asciiTheme="minorHAnsi" w:hAnsiTheme="minorHAnsi" w:cstheme="minorHAnsi"/>
          <w:lang w:bidi="ar-EG"/>
        </w:rPr>
        <w:t>LEA</w:t>
      </w:r>
      <w:r w:rsidRPr="002B2C97">
        <w:rPr>
          <w:rFonts w:asciiTheme="minorHAnsi" w:hAnsiTheme="minorHAnsi" w:cstheme="minorHAnsi"/>
          <w:rtl/>
          <w:lang w:bidi="ar-EG"/>
        </w:rPr>
        <w:t xml:space="preserve"> كافة المجموعات المؤهلة المحددة في مشاورات هادفة أثناء صياغة الخطة</w:t>
      </w:r>
      <w:r w:rsidR="006513C8" w:rsidRPr="002B2C97">
        <w:rPr>
          <w:rFonts w:asciiTheme="minorHAnsi" w:hAnsiTheme="minorHAnsi" w:cstheme="minorHAnsi" w:hint="cs"/>
          <w:rtl/>
          <w:lang w:bidi="ar-EG"/>
        </w:rPr>
        <w:t xml:space="preserve"> </w:t>
      </w:r>
      <w:r w:rsidR="006513C8" w:rsidRPr="002B2C97">
        <w:rPr>
          <w:rFonts w:cstheme="minorHAnsi" w:hint="cs"/>
          <w:rtl/>
        </w:rPr>
        <w:t>وعند إجراء أي مراجعات أو تحديثات مهمة على الخطة.</w:t>
      </w:r>
    </w:p>
    <w:p w14:paraId="404A2E30" w14:textId="77777777" w:rsidR="00807254" w:rsidRPr="002B2C97" w:rsidRDefault="00807254" w:rsidP="00807254">
      <w:pPr>
        <w:pStyle w:val="Default"/>
        <w:numPr>
          <w:ilvl w:val="0"/>
          <w:numId w:val="3"/>
        </w:numPr>
        <w:bidi/>
        <w:rPr>
          <w:rFonts w:asciiTheme="minorHAnsi" w:hAnsiTheme="minorHAnsi" w:cstheme="minorHAnsi"/>
          <w:rtl/>
          <w:lang w:bidi="ar-EG"/>
        </w:rPr>
      </w:pPr>
      <w:r w:rsidRPr="002B2C97">
        <w:rPr>
          <w:rFonts w:asciiTheme="minorHAnsi" w:hAnsiTheme="minorHAnsi" w:cstheme="minorHAnsi"/>
          <w:rtl/>
          <w:lang w:bidi="ar-EG"/>
        </w:rPr>
        <w:t xml:space="preserve"> يجب أن يكون عدد أصحاب المصلحة المشاركين ممثلاً للبنية التكوينية الطلاب. على سبيل المثال، إذا كان الطلاب ذوو الإعاقات يشكلون 15 في المائة من الطلاب، فيجب أن يتولى 10 إلى 20 في المائة من المستجيبين تمثيل تلك المجموعة الفرعية.</w:t>
      </w:r>
    </w:p>
    <w:p w14:paraId="78DAC492" w14:textId="77777777" w:rsidR="00807254" w:rsidRPr="002B2C97" w:rsidRDefault="00807254" w:rsidP="00807254">
      <w:pPr>
        <w:pStyle w:val="Default"/>
        <w:numPr>
          <w:ilvl w:val="0"/>
          <w:numId w:val="3"/>
        </w:numPr>
        <w:bidi/>
        <w:rPr>
          <w:rFonts w:asciiTheme="minorHAnsi" w:hAnsiTheme="minorHAnsi" w:cstheme="minorHAnsi"/>
          <w:rtl/>
          <w:lang w:bidi="ar-EG"/>
        </w:rPr>
      </w:pPr>
      <w:r w:rsidRPr="002B2C97">
        <w:rPr>
          <w:rFonts w:asciiTheme="minorHAnsi" w:hAnsiTheme="minorHAnsi" w:cstheme="minorHAnsi"/>
          <w:rtl/>
          <w:lang w:bidi="ar-EG"/>
        </w:rPr>
        <w:t xml:space="preserve"> تأكد من إتمام مشاركة أصحاب المصلحة قبل وضع الخطة أو تعديلها.</w:t>
      </w:r>
    </w:p>
    <w:p w14:paraId="7BB40CC5" w14:textId="2C2E5830" w:rsidR="00807254" w:rsidRPr="002B2C97" w:rsidRDefault="00807254" w:rsidP="00807254">
      <w:pPr>
        <w:pStyle w:val="Default"/>
        <w:numPr>
          <w:ilvl w:val="0"/>
          <w:numId w:val="3"/>
        </w:numPr>
        <w:bidi/>
        <w:rPr>
          <w:rFonts w:asciiTheme="minorHAnsi" w:eastAsiaTheme="minorEastAsia" w:hAnsiTheme="minorHAnsi" w:cstheme="minorHAnsi"/>
          <w:color w:val="000000" w:themeColor="text1"/>
          <w:rtl/>
          <w:lang w:bidi="ar-EG"/>
        </w:rPr>
      </w:pPr>
      <w:r w:rsidRPr="002B2C97">
        <w:rPr>
          <w:rFonts w:asciiTheme="minorHAnsi" w:hAnsiTheme="minorHAnsi" w:cstheme="minorHAnsi"/>
          <w:rtl/>
          <w:lang w:bidi="ar-EG"/>
        </w:rPr>
        <w:t xml:space="preserve"> لا بد لمؤسسة </w:t>
      </w:r>
      <w:r w:rsidRPr="002B2C97">
        <w:rPr>
          <w:rFonts w:asciiTheme="minorHAnsi" w:hAnsiTheme="minorHAnsi" w:cstheme="minorHAnsi"/>
          <w:lang w:bidi="ar-EG"/>
        </w:rPr>
        <w:t>LEA</w:t>
      </w:r>
      <w:r w:rsidRPr="002B2C97">
        <w:rPr>
          <w:rFonts w:asciiTheme="minorHAnsi" w:hAnsiTheme="minorHAnsi" w:cstheme="minorHAnsi"/>
          <w:rtl/>
          <w:lang w:bidi="ar-EG"/>
        </w:rPr>
        <w:t xml:space="preserve"> أن تشرك إدارة الصحة في وضع الخطة. ولا يعني هذا تزويد إدارة الصحة بأعداد حالات كوفيد-19.</w:t>
      </w:r>
    </w:p>
    <w:p w14:paraId="455AEBF5" w14:textId="7F1C1032" w:rsidR="00807254" w:rsidRPr="002B2C97" w:rsidRDefault="00807254" w:rsidP="00807254">
      <w:pPr>
        <w:pStyle w:val="Default"/>
        <w:numPr>
          <w:ilvl w:val="0"/>
          <w:numId w:val="2"/>
        </w:numPr>
        <w:bidi/>
        <w:rPr>
          <w:rFonts w:asciiTheme="minorHAnsi" w:hAnsiTheme="minorHAnsi" w:cstheme="minorHAnsi"/>
          <w:rtl/>
          <w:lang w:bidi="ar-EG"/>
        </w:rPr>
      </w:pPr>
      <w:r w:rsidRPr="002B2C97">
        <w:rPr>
          <w:rFonts w:asciiTheme="minorHAnsi" w:hAnsiTheme="minorHAnsi" w:cstheme="minorHAnsi"/>
          <w:rtl/>
          <w:lang w:bidi="ar-EG"/>
        </w:rPr>
        <w:t>لا بد أن تتناول الخطط بشكل صريح كل نقطة في السؤال 3 فيما يتعلق بسياسات المنطقة التعليمية واستراتيجياتها.</w:t>
      </w:r>
    </w:p>
    <w:p w14:paraId="4C1B02B9" w14:textId="77777777" w:rsidR="00807254" w:rsidRPr="002B2C97" w:rsidRDefault="00807254" w:rsidP="00807254">
      <w:pPr>
        <w:pStyle w:val="Default"/>
        <w:numPr>
          <w:ilvl w:val="0"/>
          <w:numId w:val="2"/>
        </w:numPr>
        <w:bidi/>
        <w:rPr>
          <w:rFonts w:asciiTheme="minorHAnsi" w:hAnsiTheme="minorHAnsi" w:cstheme="minorHAnsi"/>
          <w:rtl/>
          <w:lang w:bidi="ar-EG"/>
        </w:rPr>
      </w:pPr>
      <w:r w:rsidRPr="002B2C97">
        <w:rPr>
          <w:rFonts w:asciiTheme="minorHAnsi" w:hAnsiTheme="minorHAnsi" w:cstheme="minorHAnsi"/>
          <w:rtl/>
          <w:lang w:bidi="ar-EG"/>
        </w:rPr>
        <w:t xml:space="preserve"> تتطلب الخطط موافقة المجلس المحلي ونشرها على الملأ.</w:t>
      </w:r>
    </w:p>
    <w:p w14:paraId="4344628D" w14:textId="77777777" w:rsidR="00807254" w:rsidRPr="002B2C97" w:rsidRDefault="00807254" w:rsidP="00807254">
      <w:pPr>
        <w:pStyle w:val="Default"/>
        <w:numPr>
          <w:ilvl w:val="0"/>
          <w:numId w:val="2"/>
        </w:numPr>
        <w:bidi/>
        <w:rPr>
          <w:rFonts w:asciiTheme="minorHAnsi" w:hAnsiTheme="minorHAnsi" w:cstheme="minorHAnsi"/>
          <w:rtl/>
          <w:lang w:bidi="ar-EG"/>
        </w:rPr>
      </w:pPr>
      <w:r w:rsidRPr="002B2C97">
        <w:rPr>
          <w:rFonts w:asciiTheme="minorHAnsi" w:hAnsiTheme="minorHAnsi" w:cstheme="minorHAnsi"/>
          <w:rtl/>
          <w:lang w:bidi="ar-EG"/>
        </w:rPr>
        <w:t xml:space="preserve"> لا بد لمؤسسات </w:t>
      </w:r>
      <w:r w:rsidRPr="002B2C97">
        <w:rPr>
          <w:rFonts w:asciiTheme="minorHAnsi" w:hAnsiTheme="minorHAnsi" w:cstheme="minorHAnsi"/>
          <w:lang w:bidi="ar-EG"/>
        </w:rPr>
        <w:t>LEA</w:t>
      </w:r>
      <w:r w:rsidRPr="002B2C97">
        <w:rPr>
          <w:rFonts w:asciiTheme="minorHAnsi" w:hAnsiTheme="minorHAnsi" w:cstheme="minorHAnsi"/>
          <w:rtl/>
          <w:lang w:bidi="ar-EG"/>
        </w:rPr>
        <w:t xml:space="preserve"> أن تحدث </w:t>
      </w:r>
      <w:r w:rsidRPr="002B2C97">
        <w:rPr>
          <w:rFonts w:asciiTheme="minorHAnsi" w:hAnsiTheme="minorHAnsi" w:cstheme="minorHAnsi"/>
          <w:i/>
          <w:iCs/>
          <w:rtl/>
          <w:lang w:bidi="ar-EG"/>
        </w:rPr>
        <w:t>خطة العودة الآمنة إلى التعليم الحضوري واستمرار الخدمات</w:t>
      </w:r>
      <w:r w:rsidRPr="002B2C97">
        <w:rPr>
          <w:rFonts w:asciiTheme="minorHAnsi" w:hAnsiTheme="minorHAnsi" w:cstheme="minorHAnsi"/>
          <w:rtl/>
          <w:lang w:bidi="ar-EG"/>
        </w:rPr>
        <w:t xml:space="preserve"> كل ستة أشهر على الأقل حتى 30 سبتمبر 2023 وأن تسعى للحصول على آراء الجماهير بشأن الخطة وأي مراجعات لها، وأن تأخذ هذه الآراء بعين الاعتبار. يجب أن تتضمن جميع المراجعات شرحًا وأساسًا منطقيًا لسبب إجراء المراجعات.</w:t>
      </w:r>
    </w:p>
    <w:p w14:paraId="318591EA" w14:textId="7A82A011" w:rsidR="00807254" w:rsidRPr="002B2C97" w:rsidRDefault="00807254" w:rsidP="00807254">
      <w:pPr>
        <w:pStyle w:val="Default"/>
        <w:numPr>
          <w:ilvl w:val="0"/>
          <w:numId w:val="2"/>
        </w:numPr>
        <w:bidi/>
        <w:rPr>
          <w:rFonts w:asciiTheme="minorHAnsi" w:hAnsiTheme="minorHAnsi" w:cstheme="minorHAnsi"/>
          <w:rtl/>
          <w:lang w:bidi="ar-EG"/>
        </w:rPr>
      </w:pPr>
      <w:r w:rsidRPr="002B2C97">
        <w:rPr>
          <w:rFonts w:asciiTheme="minorHAnsi" w:hAnsiTheme="minorHAnsi" w:cstheme="minorHAnsi"/>
          <w:rtl/>
          <w:lang w:bidi="ar-EG"/>
        </w:rPr>
        <w:t xml:space="preserve"> لا بد أن تشمل جميع التعديلات شرحًا وسببًا منطقيًا، بالإضافة إلى استشارة الجماهير بشكل هادف، وبتنسيق مفهوم. إن قانون خطة الإنقاذ الأمريكية (</w:t>
      </w:r>
      <w:r w:rsidRPr="002B2C97">
        <w:rPr>
          <w:rFonts w:asciiTheme="minorHAnsi" w:hAnsiTheme="minorHAnsi" w:cstheme="minorHAnsi"/>
          <w:lang w:bidi="ar-EG"/>
        </w:rPr>
        <w:t>ARP</w:t>
      </w:r>
      <w:r w:rsidRPr="002B2C97">
        <w:rPr>
          <w:rFonts w:asciiTheme="minorHAnsi" w:hAnsiTheme="minorHAnsi" w:cstheme="minorHAnsi"/>
          <w:rtl/>
          <w:lang w:bidi="ar-EG"/>
        </w:rPr>
        <w:t xml:space="preserve">) يُلزِم هيئات </w:t>
      </w:r>
      <w:r w:rsidRPr="002B2C97">
        <w:rPr>
          <w:rFonts w:asciiTheme="minorHAnsi" w:hAnsiTheme="minorHAnsi" w:cstheme="minorHAnsi"/>
          <w:lang w:bidi="ar-EG"/>
        </w:rPr>
        <w:t>LEA</w:t>
      </w:r>
      <w:r w:rsidRPr="002B2C97">
        <w:rPr>
          <w:rFonts w:asciiTheme="minorHAnsi" w:hAnsiTheme="minorHAnsi" w:cstheme="minorHAnsi"/>
          <w:rtl/>
          <w:lang w:bidi="ar-EG"/>
        </w:rPr>
        <w:t xml:space="preserve"> بنشر خطط الصحة والسلامة الخاصة بها عبر الإنترنت بلغة يمكن لأولياء الأمور/مقدمي الرعاية فهمها، أو إذا لم يكن من العملي توفير ترجمات مكتوبة إلى فرد قدراته محدودة في الغة الإنجليزية، فلا بد من توفير ترجمة شفهية. لا بد أيضًا من تقديم الخطة بتنسيق بديل يمكن الوصول إليه، عند الطلب، من ولي أمر لديه إعاقة على النحو المحدد في قانون الأمريكيين ذوي الإعاقات.</w:t>
      </w:r>
    </w:p>
    <w:p w14:paraId="13CB81E5" w14:textId="77777777" w:rsidR="006A3BE2" w:rsidRPr="002B2C97" w:rsidRDefault="006A3BE2">
      <w:pPr>
        <w:bidi/>
        <w:rPr>
          <w:rFonts w:cstheme="minorHAnsi"/>
          <w:b/>
          <w:bCs/>
          <w:sz w:val="32"/>
          <w:rtl/>
          <w:lang w:bidi="ar-EG"/>
        </w:rPr>
      </w:pPr>
      <w:r w:rsidRPr="002B2C97">
        <w:rPr>
          <w:rFonts w:cstheme="minorHAnsi"/>
          <w:rtl/>
          <w:lang w:bidi="ar-EG"/>
        </w:rPr>
        <w:br w:type="page"/>
      </w:r>
    </w:p>
    <w:p w14:paraId="5B71C322" w14:textId="3CC6ABE1" w:rsidR="007411A2" w:rsidRPr="002B2C97" w:rsidRDefault="00B707B9" w:rsidP="00806807">
      <w:pPr>
        <w:bidi/>
        <w:spacing w:after="120"/>
        <w:jc w:val="center"/>
        <w:rPr>
          <w:rFonts w:cstheme="minorHAnsi"/>
          <w:b/>
          <w:bCs/>
          <w:sz w:val="34"/>
          <w:szCs w:val="34"/>
          <w:rtl/>
          <w:lang w:bidi="ar-EG"/>
        </w:rPr>
      </w:pPr>
      <w:r w:rsidRPr="002B2C97">
        <w:rPr>
          <w:rFonts w:cstheme="minorHAnsi"/>
          <w:b/>
          <w:bCs/>
          <w:sz w:val="34"/>
          <w:szCs w:val="34"/>
          <w:rtl/>
          <w:lang w:bidi="ar-EG"/>
        </w:rPr>
        <w:lastRenderedPageBreak/>
        <w:t xml:space="preserve">ملحق خطة العودة الآمنة إلى التعليم الحضوري </w:t>
      </w:r>
      <w:r w:rsidR="002D5E48" w:rsidRPr="002B2C97">
        <w:rPr>
          <w:rFonts w:cstheme="minorHAnsi"/>
          <w:b/>
          <w:bCs/>
          <w:sz w:val="34"/>
          <w:szCs w:val="34"/>
          <w:rtl/>
          <w:lang w:bidi="ar-EG"/>
        </w:rPr>
        <w:br/>
      </w:r>
      <w:r w:rsidRPr="002B2C97">
        <w:rPr>
          <w:rFonts w:cstheme="minorHAnsi"/>
          <w:b/>
          <w:bCs/>
          <w:sz w:val="34"/>
          <w:szCs w:val="34"/>
          <w:rtl/>
          <w:lang w:bidi="ar-EG"/>
        </w:rPr>
        <w:t>واستمرار الخدمات</w:t>
      </w:r>
    </w:p>
    <w:p w14:paraId="62917A2B" w14:textId="5BFF3B95" w:rsidR="007411A2" w:rsidRPr="002B2C97" w:rsidRDefault="007411A2" w:rsidP="007411A2">
      <w:pPr>
        <w:bidi/>
        <w:rPr>
          <w:rFonts w:cstheme="minorHAnsi"/>
          <w:sz w:val="24"/>
          <w:szCs w:val="24"/>
          <w:rtl/>
          <w:lang w:bidi="ar-EG"/>
        </w:rPr>
      </w:pPr>
      <w:r w:rsidRPr="002B2C97">
        <w:rPr>
          <w:rFonts w:cstheme="minorHAnsi"/>
          <w:sz w:val="24"/>
          <w:szCs w:val="24"/>
          <w:rtl/>
          <w:lang w:bidi="ar-EG"/>
        </w:rPr>
        <w:t>إن صندوق الإغاثة الطارئة 3.0 للمدارس الابتدائية والثانوية (</w:t>
      </w:r>
      <w:r w:rsidRPr="002B2C97">
        <w:rPr>
          <w:rFonts w:cstheme="minorHAnsi"/>
          <w:sz w:val="24"/>
          <w:szCs w:val="24"/>
          <w:lang w:bidi="ar-EG"/>
        </w:rPr>
        <w:t>ESSER 3.0</w:t>
      </w:r>
      <w:r w:rsidRPr="002B2C97">
        <w:rPr>
          <w:rFonts w:cstheme="minorHAnsi"/>
          <w:sz w:val="24"/>
          <w:szCs w:val="24"/>
          <w:rtl/>
          <w:lang w:bidi="ar-EG"/>
        </w:rPr>
        <w:t>) بموجب قانون خطة الإنقاذ الأمريكية (</w:t>
      </w:r>
      <w:r w:rsidRPr="002B2C97">
        <w:rPr>
          <w:rFonts w:cstheme="minorHAnsi"/>
          <w:sz w:val="24"/>
          <w:szCs w:val="24"/>
          <w:lang w:bidi="ar-EG"/>
        </w:rPr>
        <w:t>ARP</w:t>
      </w:r>
      <w:r w:rsidRPr="002B2C97">
        <w:rPr>
          <w:rFonts w:cstheme="minorHAnsi"/>
          <w:sz w:val="24"/>
          <w:szCs w:val="24"/>
          <w:rtl/>
          <w:lang w:bidi="ar-EG"/>
        </w:rPr>
        <w:t>) لعام 2021، القانون العام 2-117، صدر بتاريخ 11 مارس 2021. يساعد التمويل المُقدَّم إلى الولايات والمؤسسات التعليمية المحلية (</w:t>
      </w:r>
      <w:r w:rsidRPr="002B2C97">
        <w:rPr>
          <w:rFonts w:cstheme="minorHAnsi"/>
          <w:sz w:val="24"/>
          <w:szCs w:val="24"/>
          <w:lang w:bidi="ar-EG"/>
        </w:rPr>
        <w:t>LEAs</w:t>
      </w:r>
      <w:r w:rsidRPr="002B2C97">
        <w:rPr>
          <w:rFonts w:cstheme="minorHAnsi"/>
          <w:sz w:val="24"/>
          <w:szCs w:val="24"/>
          <w:rtl/>
          <w:lang w:bidi="ar-EG"/>
        </w:rPr>
        <w:t>) في إعادة فتح المدارس بأمان والحفاظ عليها ومعالجة تأثير جائحة فيروس كورونا على الطلاب في بلدنا.</w:t>
      </w:r>
    </w:p>
    <w:p w14:paraId="782F960E" w14:textId="6AFB8223" w:rsidR="006F7174" w:rsidRPr="002B2C97" w:rsidRDefault="00AA7FE0" w:rsidP="007411A2">
      <w:pPr>
        <w:bidi/>
        <w:rPr>
          <w:rFonts w:cstheme="minorHAnsi"/>
          <w:sz w:val="24"/>
          <w:szCs w:val="24"/>
          <w:rtl/>
          <w:lang w:bidi="ar-EG"/>
        </w:rPr>
      </w:pPr>
      <w:r w:rsidRPr="002B2C97">
        <w:rPr>
          <w:rFonts w:cstheme="minorHAnsi"/>
          <w:sz w:val="24"/>
          <w:szCs w:val="24"/>
          <w:rtl/>
          <w:lang w:bidi="ar-EG"/>
        </w:rPr>
        <w:t xml:space="preserve"> في خريف 2021، وضعت هيئات </w:t>
      </w:r>
      <w:r w:rsidRPr="002B2C97">
        <w:rPr>
          <w:rFonts w:cstheme="minorHAnsi"/>
          <w:sz w:val="24"/>
          <w:szCs w:val="24"/>
          <w:lang w:bidi="ar-EG"/>
        </w:rPr>
        <w:t>LEA</w:t>
      </w:r>
      <w:r w:rsidRPr="002B2C97">
        <w:rPr>
          <w:rFonts w:cstheme="minorHAnsi"/>
          <w:sz w:val="24"/>
          <w:szCs w:val="24"/>
          <w:rtl/>
          <w:lang w:bidi="ar-EG"/>
        </w:rPr>
        <w:t xml:space="preserve"> خطة العودة الآمنة إلى التعليم الحضوري واستمرار الخدمات وجعلتها متاحة على الملأ. وُضعَت جميع الخطط بالتشاور العام الهادف مع مجموعات أصحاب المصلحة. إن هيئات </w:t>
      </w:r>
      <w:r w:rsidRPr="002B2C97">
        <w:rPr>
          <w:rFonts w:cstheme="minorHAnsi"/>
          <w:sz w:val="24"/>
          <w:szCs w:val="24"/>
          <w:lang w:bidi="ar-EG"/>
        </w:rPr>
        <w:t>LEA</w:t>
      </w:r>
      <w:r w:rsidRPr="002B2C97">
        <w:rPr>
          <w:rFonts w:cstheme="minorHAnsi"/>
          <w:sz w:val="24"/>
          <w:szCs w:val="24"/>
          <w:rtl/>
          <w:lang w:bidi="ar-EG"/>
        </w:rPr>
        <w:t xml:space="preserve"> ملزمة بتحديث الخطة كل ستة أشهر حتى 30 سبتمبر 2023، ولا بد أن تسعى للحصول على آراء الجماهير بشأن الخطة وأي تعديلات وتأخذ هذه الآراء في الاعتبار. لا بد أيضًا لهيئات </w:t>
      </w:r>
      <w:r w:rsidRPr="002B2C97">
        <w:rPr>
          <w:rFonts w:cstheme="minorHAnsi"/>
          <w:sz w:val="24"/>
          <w:szCs w:val="24"/>
          <w:lang w:bidi="ar-EG"/>
        </w:rPr>
        <w:t>LEA</w:t>
      </w:r>
      <w:r w:rsidRPr="002B2C97">
        <w:rPr>
          <w:rFonts w:cstheme="minorHAnsi"/>
          <w:sz w:val="24"/>
          <w:szCs w:val="24"/>
          <w:rtl/>
          <w:lang w:bidi="ar-EG"/>
        </w:rPr>
        <w:t xml:space="preserve"> أن تراجع خططها وتحدثها كلما كانت هناك تغييرات كبيرة في توصيات مراكز مكافحة الأمراض والوقاية منها (</w:t>
      </w:r>
      <w:r w:rsidRPr="002B2C97">
        <w:rPr>
          <w:rFonts w:cstheme="minorHAnsi"/>
          <w:sz w:val="24"/>
          <w:szCs w:val="24"/>
          <w:lang w:bidi="ar-EG"/>
        </w:rPr>
        <w:t>CDC</w:t>
      </w:r>
      <w:r w:rsidRPr="002B2C97">
        <w:rPr>
          <w:rFonts w:cstheme="minorHAnsi"/>
          <w:sz w:val="24"/>
          <w:szCs w:val="24"/>
          <w:rtl/>
          <w:lang w:bidi="ar-EG"/>
        </w:rPr>
        <w:t xml:space="preserve">) للمدارس من رياض الأطفال وحتى الصف 12 وأن تتأكد من أن الخطة مجارية للأحداث. وكما كان الحال أثناء وضع الخطة، لا بد أن تستند التعديلات إلى آراء المجتمع وأن تتم مراجعتها والموافقة عليها من الهيئة الإدارية قبل نشرها على موقع مؤسسة </w:t>
      </w:r>
      <w:r w:rsidRPr="002B2C97">
        <w:rPr>
          <w:rFonts w:cstheme="minorHAnsi"/>
          <w:sz w:val="24"/>
          <w:szCs w:val="24"/>
          <w:lang w:bidi="ar-EG"/>
        </w:rPr>
        <w:t>LEA</w:t>
      </w:r>
      <w:r w:rsidRPr="002B2C97">
        <w:rPr>
          <w:rFonts w:cstheme="minorHAnsi"/>
          <w:sz w:val="24"/>
          <w:szCs w:val="24"/>
          <w:rtl/>
          <w:lang w:bidi="ar-EG"/>
        </w:rPr>
        <w:t xml:space="preserve"> الإلكتروني المتاح للجمهور.</w:t>
      </w:r>
    </w:p>
    <w:p w14:paraId="2751B544" w14:textId="25E51951" w:rsidR="00722F1A" w:rsidRPr="002B2C97" w:rsidRDefault="00722F1A" w:rsidP="007411A2">
      <w:pPr>
        <w:bidi/>
        <w:rPr>
          <w:rFonts w:cstheme="minorHAnsi"/>
          <w:sz w:val="24"/>
          <w:szCs w:val="24"/>
          <w:rtl/>
          <w:lang w:bidi="ar-EG"/>
        </w:rPr>
      </w:pPr>
      <w:r w:rsidRPr="002B2C97">
        <w:rPr>
          <w:rFonts w:cstheme="minorHAnsi"/>
          <w:sz w:val="24"/>
          <w:szCs w:val="24"/>
          <w:rtl/>
          <w:lang w:bidi="ar-EG"/>
        </w:rPr>
        <w:t>تهدف المعلومات التالية إلى تحديث معلومات أصحاب المصلحة وتلبية المتطلبات.</w:t>
      </w:r>
    </w:p>
    <w:p w14:paraId="63B6FF72" w14:textId="20028A70" w:rsidR="00C06BCD" w:rsidRPr="002B2C97" w:rsidRDefault="008B41A8" w:rsidP="00242ED5">
      <w:pPr>
        <w:tabs>
          <w:tab w:val="right" w:pos="10080"/>
        </w:tabs>
        <w:bidi/>
        <w:spacing w:after="240"/>
        <w:rPr>
          <w:rFonts w:cstheme="minorHAnsi"/>
          <w:sz w:val="24"/>
          <w:szCs w:val="24"/>
          <w:rtl/>
          <w:lang w:bidi="ar-EG"/>
        </w:rPr>
      </w:pPr>
      <w:r w:rsidRPr="002B2C97">
        <w:rPr>
          <w:rFonts w:cstheme="minorHAnsi"/>
          <w:sz w:val="24"/>
          <w:szCs w:val="24"/>
          <w:rtl/>
          <w:lang w:bidi="ar-EG"/>
        </w:rPr>
        <w:t>اسم المؤسسة التعليمية المحلية (</w:t>
      </w:r>
      <w:r w:rsidRPr="002B2C97">
        <w:rPr>
          <w:rFonts w:cstheme="minorHAnsi"/>
          <w:sz w:val="24"/>
          <w:szCs w:val="24"/>
          <w:lang w:bidi="ar-EG"/>
        </w:rPr>
        <w:t>LEA</w:t>
      </w:r>
      <w:r w:rsidRPr="002B2C97">
        <w:rPr>
          <w:rFonts w:cstheme="minorHAnsi"/>
          <w:sz w:val="24"/>
          <w:szCs w:val="24"/>
          <w:rtl/>
          <w:lang w:bidi="ar-EG"/>
        </w:rPr>
        <w:t>):</w:t>
      </w:r>
      <w:r w:rsidRPr="002B2C97">
        <w:rPr>
          <w:rFonts w:cstheme="minorHAnsi"/>
          <w:sz w:val="24"/>
          <w:szCs w:val="24"/>
          <w:u w:val="single"/>
          <w:rtl/>
          <w:lang w:bidi="ar-EG"/>
        </w:rPr>
        <w:tab/>
      </w:r>
    </w:p>
    <w:p w14:paraId="60DAE3ED" w14:textId="500860C9" w:rsidR="008B41A8" w:rsidRPr="002B2C97" w:rsidRDefault="008B41A8" w:rsidP="00242ED5">
      <w:pPr>
        <w:tabs>
          <w:tab w:val="right" w:pos="10080"/>
        </w:tabs>
        <w:bidi/>
        <w:spacing w:after="240"/>
        <w:rPr>
          <w:rFonts w:cstheme="minorHAnsi"/>
          <w:sz w:val="24"/>
          <w:szCs w:val="24"/>
          <w:rtl/>
          <w:lang w:bidi="ar-EG"/>
        </w:rPr>
      </w:pPr>
      <w:r w:rsidRPr="002B2C97">
        <w:rPr>
          <w:rFonts w:cstheme="minorHAnsi"/>
          <w:sz w:val="24"/>
          <w:szCs w:val="24"/>
          <w:rtl/>
          <w:lang w:bidi="ar-EG"/>
        </w:rPr>
        <w:t xml:space="preserve"> التاريخ:</w:t>
      </w:r>
      <w:r w:rsidRPr="002B2C97">
        <w:rPr>
          <w:rFonts w:cstheme="minorHAnsi"/>
          <w:sz w:val="24"/>
          <w:szCs w:val="24"/>
          <w:u w:val="single"/>
          <w:rtl/>
          <w:lang w:bidi="ar-EG"/>
        </w:rPr>
        <w:tab/>
      </w:r>
    </w:p>
    <w:p w14:paraId="03D69ED2" w14:textId="6D21BA67" w:rsidR="46E531D1" w:rsidRPr="002B2C97" w:rsidRDefault="46E531D1" w:rsidP="00CF10D1">
      <w:pPr>
        <w:pStyle w:val="ListParagraph"/>
        <w:numPr>
          <w:ilvl w:val="0"/>
          <w:numId w:val="1"/>
        </w:numPr>
        <w:bidi/>
        <w:ind w:left="270" w:hanging="270"/>
        <w:rPr>
          <w:rFonts w:eastAsiaTheme="minorEastAsia" w:cstheme="minorHAnsi"/>
          <w:b/>
          <w:bCs/>
          <w:sz w:val="24"/>
          <w:szCs w:val="24"/>
          <w:rtl/>
          <w:lang w:bidi="ar-EG"/>
        </w:rPr>
      </w:pPr>
      <w:r w:rsidRPr="002B2C97">
        <w:rPr>
          <w:rFonts w:cstheme="minorHAnsi"/>
          <w:b/>
          <w:bCs/>
          <w:sz w:val="24"/>
          <w:szCs w:val="24"/>
          <w:rtl/>
          <w:lang w:bidi="ar-EG"/>
        </w:rPr>
        <w:t xml:space="preserve"> صف كيف شاركت مؤسسة </w:t>
      </w:r>
      <w:r w:rsidRPr="002B2C97">
        <w:rPr>
          <w:rFonts w:cstheme="minorHAnsi"/>
          <w:b/>
          <w:bCs/>
          <w:sz w:val="24"/>
          <w:szCs w:val="24"/>
          <w:lang w:bidi="ar-EG"/>
        </w:rPr>
        <w:t>LEA</w:t>
      </w:r>
      <w:r w:rsidRPr="002B2C97">
        <w:rPr>
          <w:rFonts w:cstheme="minorHAnsi"/>
          <w:b/>
          <w:bCs/>
          <w:sz w:val="24"/>
          <w:szCs w:val="24"/>
          <w:rtl/>
          <w:lang w:bidi="ar-EG"/>
        </w:rPr>
        <w:t xml:space="preserve"> في التشاور االهادف مع أصحاب المصلحة في تطوير الخطة المنقحة.</w:t>
      </w:r>
    </w:p>
    <w:tbl>
      <w:tblPr>
        <w:tblStyle w:val="TableGrid"/>
        <w:bidiVisual/>
        <w:tblW w:w="5000" w:type="pct"/>
        <w:tblLook w:val="04A0" w:firstRow="1" w:lastRow="0" w:firstColumn="1" w:lastColumn="0" w:noHBand="0" w:noVBand="1"/>
      </w:tblPr>
      <w:tblGrid>
        <w:gridCol w:w="10070"/>
      </w:tblGrid>
      <w:tr w:rsidR="00BE3E61" w:rsidRPr="002B2C97" w14:paraId="010D6879" w14:textId="77777777" w:rsidTr="00242ED5">
        <w:trPr>
          <w:trHeight w:val="720"/>
        </w:trPr>
        <w:tc>
          <w:tcPr>
            <w:tcW w:w="9350" w:type="dxa"/>
          </w:tcPr>
          <w:p w14:paraId="13997440" w14:textId="77777777" w:rsidR="00BE3E61" w:rsidRPr="002B2C97" w:rsidRDefault="00BE3E61" w:rsidP="782C1AF9">
            <w:pPr>
              <w:rPr>
                <w:rFonts w:cstheme="minorHAnsi"/>
                <w:sz w:val="24"/>
                <w:szCs w:val="24"/>
                <w:lang w:bidi="ar-EG"/>
              </w:rPr>
            </w:pPr>
          </w:p>
        </w:tc>
      </w:tr>
    </w:tbl>
    <w:p w14:paraId="3BF4C046" w14:textId="37DE3EF6" w:rsidR="782C1AF9" w:rsidRPr="002B2C97" w:rsidRDefault="782C1AF9" w:rsidP="782C1AF9">
      <w:pPr>
        <w:rPr>
          <w:rFonts w:cstheme="minorHAnsi"/>
          <w:sz w:val="24"/>
          <w:szCs w:val="24"/>
          <w:lang w:bidi="ar-EG"/>
        </w:rPr>
      </w:pPr>
    </w:p>
    <w:p w14:paraId="7361D38F" w14:textId="6A4D8D46" w:rsidR="71CD3E27" w:rsidRPr="002B2C97" w:rsidRDefault="71CD3E27" w:rsidP="00CF10D1">
      <w:pPr>
        <w:pStyle w:val="ListParagraph"/>
        <w:numPr>
          <w:ilvl w:val="0"/>
          <w:numId w:val="1"/>
        </w:numPr>
        <w:bidi/>
        <w:ind w:left="270" w:hanging="270"/>
        <w:rPr>
          <w:rFonts w:cstheme="minorHAnsi"/>
          <w:b/>
          <w:bCs/>
          <w:sz w:val="24"/>
          <w:szCs w:val="24"/>
          <w:rtl/>
          <w:lang w:bidi="ar-EG"/>
        </w:rPr>
      </w:pPr>
      <w:r w:rsidRPr="002B2C97">
        <w:rPr>
          <w:rFonts w:cstheme="minorHAnsi"/>
          <w:b/>
          <w:bCs/>
          <w:sz w:val="24"/>
          <w:szCs w:val="24"/>
          <w:rtl/>
          <w:lang w:bidi="ar-EG"/>
        </w:rPr>
        <w:t xml:space="preserve">صف كيف أشركت مؤسسة </w:t>
      </w:r>
      <w:r w:rsidRPr="002B2C97">
        <w:rPr>
          <w:rFonts w:cstheme="minorHAnsi"/>
          <w:b/>
          <w:bCs/>
          <w:sz w:val="24"/>
          <w:szCs w:val="24"/>
          <w:lang w:bidi="ar-EG"/>
        </w:rPr>
        <w:t>LEA</w:t>
      </w:r>
      <w:r w:rsidRPr="002B2C97">
        <w:rPr>
          <w:rFonts w:cstheme="minorHAnsi"/>
          <w:b/>
          <w:bCs/>
          <w:sz w:val="24"/>
          <w:szCs w:val="24"/>
          <w:rtl/>
          <w:lang w:bidi="ar-EG"/>
        </w:rPr>
        <w:t xml:space="preserve"> إدارة الصحة في تطوير الخطة المنقحة.</w:t>
      </w:r>
    </w:p>
    <w:tbl>
      <w:tblPr>
        <w:tblStyle w:val="TableGrid"/>
        <w:bidiVisual/>
        <w:tblW w:w="5000" w:type="pct"/>
        <w:tblLook w:val="04A0" w:firstRow="1" w:lastRow="0" w:firstColumn="1" w:lastColumn="0" w:noHBand="0" w:noVBand="1"/>
      </w:tblPr>
      <w:tblGrid>
        <w:gridCol w:w="10070"/>
      </w:tblGrid>
      <w:tr w:rsidR="00BE3E61" w:rsidRPr="002B2C97" w14:paraId="4578204D" w14:textId="77777777" w:rsidTr="00242ED5">
        <w:trPr>
          <w:trHeight w:val="720"/>
        </w:trPr>
        <w:tc>
          <w:tcPr>
            <w:tcW w:w="9350" w:type="dxa"/>
          </w:tcPr>
          <w:p w14:paraId="765F6A26" w14:textId="77777777" w:rsidR="00BE3E61" w:rsidRPr="002B2C97" w:rsidRDefault="00BE3E61" w:rsidP="782C1AF9">
            <w:pPr>
              <w:rPr>
                <w:rFonts w:cstheme="minorHAnsi"/>
                <w:sz w:val="24"/>
                <w:szCs w:val="24"/>
                <w:lang w:bidi="ar-EG"/>
              </w:rPr>
            </w:pPr>
          </w:p>
        </w:tc>
      </w:tr>
    </w:tbl>
    <w:p w14:paraId="5995D548" w14:textId="77777777" w:rsidR="00242ED5" w:rsidRPr="002B2C97" w:rsidRDefault="00242ED5">
      <w:pPr>
        <w:bidi/>
        <w:rPr>
          <w:rFonts w:cstheme="minorHAnsi"/>
          <w:sz w:val="24"/>
          <w:szCs w:val="24"/>
          <w:rtl/>
          <w:lang w:bidi="ar-EG"/>
        </w:rPr>
      </w:pPr>
      <w:r w:rsidRPr="002B2C97">
        <w:rPr>
          <w:rFonts w:cstheme="minorHAnsi"/>
          <w:sz w:val="24"/>
          <w:szCs w:val="24"/>
          <w:rtl/>
          <w:lang w:bidi="ar-EG"/>
        </w:rPr>
        <w:br w:type="page"/>
      </w:r>
    </w:p>
    <w:p w14:paraId="0DA38ACE" w14:textId="17406081" w:rsidR="00C06BCD" w:rsidRPr="002B2C97" w:rsidRDefault="00BF0E88" w:rsidP="00CF10D1">
      <w:pPr>
        <w:pStyle w:val="ListParagraph"/>
        <w:numPr>
          <w:ilvl w:val="0"/>
          <w:numId w:val="1"/>
        </w:numPr>
        <w:bidi/>
        <w:ind w:left="270" w:hanging="270"/>
        <w:rPr>
          <w:rFonts w:cstheme="minorHAnsi"/>
          <w:b/>
          <w:bCs/>
          <w:sz w:val="24"/>
          <w:szCs w:val="24"/>
          <w:rtl/>
          <w:lang w:bidi="ar-EG"/>
        </w:rPr>
      </w:pPr>
      <w:r w:rsidRPr="002B2C97">
        <w:rPr>
          <w:rFonts w:cstheme="minorHAnsi"/>
          <w:b/>
          <w:bCs/>
          <w:sz w:val="24"/>
          <w:szCs w:val="24"/>
          <w:rtl/>
          <w:lang w:bidi="ar-EG"/>
        </w:rPr>
        <w:lastRenderedPageBreak/>
        <w:t xml:space="preserve">اذكر إلى أي مدى قامت مؤسسة </w:t>
      </w:r>
      <w:r w:rsidRPr="002B2C97">
        <w:rPr>
          <w:rFonts w:cstheme="minorHAnsi"/>
          <w:b/>
          <w:bCs/>
          <w:sz w:val="24"/>
          <w:szCs w:val="24"/>
          <w:lang w:bidi="ar-EG"/>
        </w:rPr>
        <w:t>LEA</w:t>
      </w:r>
      <w:r w:rsidRPr="002B2C97">
        <w:rPr>
          <w:rFonts w:cstheme="minorHAnsi"/>
          <w:b/>
          <w:bCs/>
          <w:sz w:val="24"/>
          <w:szCs w:val="24"/>
          <w:rtl/>
          <w:lang w:bidi="ar-EG"/>
        </w:rPr>
        <w:t xml:space="preserve"> بتحديث سياساتها المعتمدة وقد</w:t>
      </w:r>
      <w:r w:rsidR="007F1755" w:rsidRPr="002B2C97">
        <w:rPr>
          <w:rFonts w:cstheme="minorHAnsi"/>
          <w:b/>
          <w:bCs/>
          <w:sz w:val="24"/>
          <w:szCs w:val="24"/>
          <w:rtl/>
          <w:lang w:bidi="ar-EG"/>
        </w:rPr>
        <w:t>ِّ</w:t>
      </w:r>
      <w:r w:rsidRPr="002B2C97">
        <w:rPr>
          <w:rFonts w:cstheme="minorHAnsi"/>
          <w:b/>
          <w:bCs/>
          <w:sz w:val="24"/>
          <w:szCs w:val="24"/>
          <w:rtl/>
          <w:lang w:bidi="ar-EG"/>
        </w:rPr>
        <w:t>م وصفًا لأي من هذه السياسات في كل من استراتيجيات الصحة والسلامة التالية:</w:t>
      </w:r>
    </w:p>
    <w:tbl>
      <w:tblPr>
        <w:tblStyle w:val="TableGrid"/>
        <w:bidiVisual/>
        <w:tblW w:w="5000" w:type="pct"/>
        <w:tblLook w:val="04A0" w:firstRow="1" w:lastRow="0" w:firstColumn="1" w:lastColumn="0" w:noHBand="0" w:noVBand="1"/>
      </w:tblPr>
      <w:tblGrid>
        <w:gridCol w:w="10070"/>
      </w:tblGrid>
      <w:tr w:rsidR="006D78ED" w:rsidRPr="002B2C97" w14:paraId="6B22DF7C" w14:textId="77777777" w:rsidTr="173BE974">
        <w:trPr>
          <w:trHeight w:val="288"/>
        </w:trPr>
        <w:tc>
          <w:tcPr>
            <w:tcW w:w="4675" w:type="dxa"/>
          </w:tcPr>
          <w:p w14:paraId="66117DD4" w14:textId="1BCEA3EF" w:rsidR="006D78ED" w:rsidRPr="002B2C97" w:rsidRDefault="006D78ED" w:rsidP="173BE974">
            <w:pPr>
              <w:autoSpaceDE w:val="0"/>
              <w:autoSpaceDN w:val="0"/>
              <w:bidi/>
              <w:adjustRightInd w:val="0"/>
              <w:rPr>
                <w:rFonts w:cstheme="minorHAnsi"/>
                <w:i/>
                <w:iCs/>
                <w:sz w:val="24"/>
                <w:szCs w:val="24"/>
                <w:rtl/>
                <w:lang w:bidi="ar-EG"/>
              </w:rPr>
            </w:pPr>
            <w:r w:rsidRPr="002B2C97">
              <w:rPr>
                <w:rFonts w:cstheme="minorHAnsi"/>
                <w:i/>
                <w:iCs/>
                <w:sz w:val="24"/>
                <w:szCs w:val="24"/>
                <w:rtl/>
                <w:lang w:bidi="ar-EG"/>
              </w:rPr>
              <w:t xml:space="preserve">  التسهيلات المناسبة للأطفال ذوي الإعاقات فيما يتعلق بسياسات الصحة والسلامة</w:t>
            </w:r>
          </w:p>
        </w:tc>
      </w:tr>
      <w:tr w:rsidR="006D78ED" w:rsidRPr="002B2C97" w14:paraId="6218CAFA" w14:textId="77777777" w:rsidTr="173BE974">
        <w:trPr>
          <w:trHeight w:val="864"/>
        </w:trPr>
        <w:tc>
          <w:tcPr>
            <w:tcW w:w="4675" w:type="dxa"/>
          </w:tcPr>
          <w:p w14:paraId="1F876E37" w14:textId="0484C025" w:rsidR="006D78ED" w:rsidRPr="002B2C97" w:rsidRDefault="006D78ED" w:rsidP="00BF0E88">
            <w:pPr>
              <w:autoSpaceDE w:val="0"/>
              <w:autoSpaceDN w:val="0"/>
              <w:adjustRightInd w:val="0"/>
              <w:rPr>
                <w:rFonts w:cstheme="minorHAnsi"/>
                <w:i/>
                <w:iCs/>
                <w:sz w:val="24"/>
                <w:szCs w:val="24"/>
                <w:lang w:bidi="ar-EG"/>
              </w:rPr>
            </w:pPr>
          </w:p>
        </w:tc>
      </w:tr>
      <w:tr w:rsidR="006D78ED" w:rsidRPr="002B2C97" w14:paraId="328EBC51" w14:textId="77777777" w:rsidTr="173BE974">
        <w:trPr>
          <w:trHeight w:val="288"/>
        </w:trPr>
        <w:tc>
          <w:tcPr>
            <w:tcW w:w="4675" w:type="dxa"/>
          </w:tcPr>
          <w:p w14:paraId="24702F6A" w14:textId="1B2B4F87" w:rsidR="006D78ED" w:rsidRPr="002B2C97" w:rsidRDefault="006D78ED" w:rsidP="00BF0E88">
            <w:pPr>
              <w:autoSpaceDE w:val="0"/>
              <w:autoSpaceDN w:val="0"/>
              <w:bidi/>
              <w:adjustRightInd w:val="0"/>
              <w:rPr>
                <w:rFonts w:cstheme="minorHAnsi"/>
                <w:i/>
                <w:iCs/>
                <w:sz w:val="24"/>
                <w:szCs w:val="24"/>
                <w:rtl/>
                <w:lang w:bidi="ar-EG"/>
              </w:rPr>
            </w:pPr>
            <w:r w:rsidRPr="002B2C97">
              <w:rPr>
                <w:rFonts w:cstheme="minorHAnsi"/>
                <w:i/>
                <w:iCs/>
                <w:sz w:val="24"/>
                <w:szCs w:val="24"/>
                <w:rtl/>
                <w:lang w:bidi="ar-EG"/>
              </w:rPr>
              <w:t>التباعد الجسدي (على سبيل المثال، الجلوس في جماعات/أوقات الفراغ)</w:t>
            </w:r>
          </w:p>
        </w:tc>
      </w:tr>
      <w:tr w:rsidR="006D78ED" w:rsidRPr="002B2C97" w14:paraId="1AEB5776" w14:textId="77777777" w:rsidTr="173BE974">
        <w:trPr>
          <w:trHeight w:val="864"/>
        </w:trPr>
        <w:tc>
          <w:tcPr>
            <w:tcW w:w="4675" w:type="dxa"/>
          </w:tcPr>
          <w:p w14:paraId="1A96EC6B" w14:textId="75BFBADD" w:rsidR="006D78ED" w:rsidRPr="002B2C97" w:rsidRDefault="006D78ED" w:rsidP="00BF0E88">
            <w:pPr>
              <w:autoSpaceDE w:val="0"/>
              <w:autoSpaceDN w:val="0"/>
              <w:adjustRightInd w:val="0"/>
              <w:rPr>
                <w:rFonts w:cstheme="minorHAnsi"/>
                <w:i/>
                <w:iCs/>
                <w:sz w:val="24"/>
                <w:szCs w:val="24"/>
                <w:lang w:bidi="ar-EG"/>
              </w:rPr>
            </w:pPr>
          </w:p>
        </w:tc>
      </w:tr>
      <w:tr w:rsidR="006D78ED" w:rsidRPr="002B2C97" w14:paraId="6DC2FFFD" w14:textId="77777777" w:rsidTr="173BE974">
        <w:trPr>
          <w:trHeight w:val="288"/>
        </w:trPr>
        <w:tc>
          <w:tcPr>
            <w:tcW w:w="4675" w:type="dxa"/>
          </w:tcPr>
          <w:p w14:paraId="6D618F15" w14:textId="6796B91E" w:rsidR="006D78ED" w:rsidRPr="002B2C97" w:rsidRDefault="006D78ED" w:rsidP="00BF0E88">
            <w:pPr>
              <w:autoSpaceDE w:val="0"/>
              <w:autoSpaceDN w:val="0"/>
              <w:bidi/>
              <w:adjustRightInd w:val="0"/>
              <w:rPr>
                <w:rFonts w:cstheme="minorHAnsi"/>
                <w:i/>
                <w:iCs/>
                <w:sz w:val="24"/>
                <w:szCs w:val="24"/>
                <w:rtl/>
                <w:lang w:bidi="ar-EG"/>
              </w:rPr>
            </w:pPr>
            <w:r w:rsidRPr="002B2C97">
              <w:rPr>
                <w:rFonts w:cstheme="minorHAnsi"/>
                <w:i/>
                <w:iCs/>
                <w:sz w:val="24"/>
                <w:szCs w:val="24"/>
                <w:rtl/>
                <w:lang w:bidi="ar-EG"/>
              </w:rPr>
              <w:t>آداب غسل اليدين والتنفس</w:t>
            </w:r>
          </w:p>
        </w:tc>
      </w:tr>
      <w:tr w:rsidR="006D78ED" w:rsidRPr="002B2C97" w14:paraId="5820C409" w14:textId="77777777" w:rsidTr="173BE974">
        <w:trPr>
          <w:trHeight w:val="864"/>
        </w:trPr>
        <w:tc>
          <w:tcPr>
            <w:tcW w:w="4675" w:type="dxa"/>
          </w:tcPr>
          <w:p w14:paraId="7ADEDBB6" w14:textId="1A886DA4" w:rsidR="006D78ED" w:rsidRPr="002B2C97" w:rsidRDefault="006D78ED" w:rsidP="00BF0E88">
            <w:pPr>
              <w:autoSpaceDE w:val="0"/>
              <w:autoSpaceDN w:val="0"/>
              <w:adjustRightInd w:val="0"/>
              <w:rPr>
                <w:rFonts w:cstheme="minorHAnsi"/>
                <w:i/>
                <w:iCs/>
                <w:sz w:val="24"/>
                <w:szCs w:val="24"/>
                <w:lang w:bidi="ar-EG"/>
              </w:rPr>
            </w:pPr>
          </w:p>
        </w:tc>
      </w:tr>
      <w:tr w:rsidR="006D78ED" w:rsidRPr="002B2C97" w14:paraId="7A897AE6" w14:textId="77777777" w:rsidTr="173BE974">
        <w:trPr>
          <w:trHeight w:val="288"/>
        </w:trPr>
        <w:tc>
          <w:tcPr>
            <w:tcW w:w="4675" w:type="dxa"/>
          </w:tcPr>
          <w:p w14:paraId="3E1A28E9" w14:textId="7B70A13D" w:rsidR="006D78ED" w:rsidRPr="002B2C97" w:rsidRDefault="006D78ED" w:rsidP="00493901">
            <w:pPr>
              <w:autoSpaceDE w:val="0"/>
              <w:autoSpaceDN w:val="0"/>
              <w:bidi/>
              <w:adjustRightInd w:val="0"/>
              <w:rPr>
                <w:rFonts w:cstheme="minorHAnsi"/>
                <w:i/>
                <w:iCs/>
                <w:sz w:val="24"/>
                <w:szCs w:val="24"/>
                <w:rtl/>
                <w:lang w:bidi="ar-EG"/>
              </w:rPr>
            </w:pPr>
            <w:r w:rsidRPr="002B2C97">
              <w:rPr>
                <w:rFonts w:cstheme="minorHAnsi"/>
                <w:i/>
                <w:iCs/>
                <w:sz w:val="24"/>
                <w:szCs w:val="24"/>
                <w:rtl/>
                <w:lang w:bidi="ar-EG"/>
              </w:rPr>
              <w:t>تنظيف المرافق الصحية وصيانتها، بما في ذلك تحسين التهوية</w:t>
            </w:r>
          </w:p>
        </w:tc>
      </w:tr>
      <w:tr w:rsidR="006D78ED" w:rsidRPr="002B2C97" w14:paraId="1A54A118" w14:textId="77777777" w:rsidTr="173BE974">
        <w:trPr>
          <w:trHeight w:val="864"/>
        </w:trPr>
        <w:tc>
          <w:tcPr>
            <w:tcW w:w="4675" w:type="dxa"/>
          </w:tcPr>
          <w:p w14:paraId="69C0F984" w14:textId="62555843" w:rsidR="006D78ED" w:rsidRPr="002B2C97" w:rsidRDefault="006D78ED" w:rsidP="00BF0E88">
            <w:pPr>
              <w:autoSpaceDE w:val="0"/>
              <w:autoSpaceDN w:val="0"/>
              <w:adjustRightInd w:val="0"/>
              <w:rPr>
                <w:rFonts w:cstheme="minorHAnsi"/>
                <w:i/>
                <w:iCs/>
                <w:sz w:val="24"/>
                <w:szCs w:val="24"/>
                <w:lang w:bidi="ar-EG"/>
              </w:rPr>
            </w:pPr>
          </w:p>
        </w:tc>
      </w:tr>
      <w:tr w:rsidR="006D78ED" w:rsidRPr="002B2C97" w14:paraId="7F702806" w14:textId="77777777" w:rsidTr="173BE974">
        <w:trPr>
          <w:trHeight w:val="288"/>
        </w:trPr>
        <w:tc>
          <w:tcPr>
            <w:tcW w:w="4675" w:type="dxa"/>
          </w:tcPr>
          <w:p w14:paraId="507B83E0" w14:textId="2C37DADC" w:rsidR="006D78ED" w:rsidRPr="002B2C97" w:rsidRDefault="006D78ED" w:rsidP="00BF0E88">
            <w:pPr>
              <w:autoSpaceDE w:val="0"/>
              <w:autoSpaceDN w:val="0"/>
              <w:bidi/>
              <w:adjustRightInd w:val="0"/>
              <w:rPr>
                <w:rFonts w:cstheme="minorHAnsi"/>
                <w:i/>
                <w:iCs/>
                <w:sz w:val="24"/>
                <w:szCs w:val="24"/>
                <w:rtl/>
                <w:lang w:bidi="ar-EG"/>
              </w:rPr>
            </w:pPr>
            <w:r w:rsidRPr="002B2C97">
              <w:rPr>
                <w:rFonts w:cstheme="minorHAnsi"/>
                <w:i/>
                <w:iCs/>
                <w:sz w:val="24"/>
                <w:szCs w:val="24"/>
                <w:rtl/>
                <w:lang w:bidi="ar-EG"/>
              </w:rPr>
              <w:t>اقتفاء أثر المخالطين بالإضافة إلى العزل والحجر الصحي</w:t>
            </w:r>
          </w:p>
        </w:tc>
      </w:tr>
      <w:tr w:rsidR="006D78ED" w:rsidRPr="002B2C97" w14:paraId="3728B7BB" w14:textId="77777777" w:rsidTr="173BE974">
        <w:trPr>
          <w:trHeight w:val="864"/>
        </w:trPr>
        <w:tc>
          <w:tcPr>
            <w:tcW w:w="4675" w:type="dxa"/>
          </w:tcPr>
          <w:p w14:paraId="17CF02D9" w14:textId="3AD438BE" w:rsidR="006D78ED" w:rsidRPr="002B2C97" w:rsidRDefault="006D78ED" w:rsidP="00BF0E88">
            <w:pPr>
              <w:autoSpaceDE w:val="0"/>
              <w:autoSpaceDN w:val="0"/>
              <w:adjustRightInd w:val="0"/>
              <w:rPr>
                <w:rFonts w:cstheme="minorHAnsi"/>
                <w:i/>
                <w:iCs/>
                <w:sz w:val="24"/>
                <w:szCs w:val="24"/>
                <w:lang w:bidi="ar-EG"/>
              </w:rPr>
            </w:pPr>
          </w:p>
        </w:tc>
      </w:tr>
      <w:tr w:rsidR="006D78ED" w:rsidRPr="002B2C97" w14:paraId="60CEAE32" w14:textId="77777777" w:rsidTr="173BE974">
        <w:trPr>
          <w:trHeight w:val="288"/>
        </w:trPr>
        <w:tc>
          <w:tcPr>
            <w:tcW w:w="4675" w:type="dxa"/>
          </w:tcPr>
          <w:p w14:paraId="46C3D1B1" w14:textId="75D3FB11" w:rsidR="006D78ED" w:rsidRPr="002B2C97" w:rsidRDefault="006D78ED" w:rsidP="00BF0E88">
            <w:pPr>
              <w:autoSpaceDE w:val="0"/>
              <w:autoSpaceDN w:val="0"/>
              <w:bidi/>
              <w:adjustRightInd w:val="0"/>
              <w:rPr>
                <w:rFonts w:cstheme="minorHAnsi"/>
                <w:i/>
                <w:iCs/>
                <w:sz w:val="24"/>
                <w:szCs w:val="24"/>
                <w:rtl/>
                <w:lang w:bidi="ar-EG"/>
              </w:rPr>
            </w:pPr>
            <w:r w:rsidRPr="002B2C97">
              <w:rPr>
                <w:rFonts w:cstheme="minorHAnsi"/>
                <w:i/>
                <w:iCs/>
                <w:sz w:val="24"/>
                <w:szCs w:val="24"/>
                <w:rtl/>
                <w:lang w:bidi="ar-EG"/>
              </w:rPr>
              <w:t>اختبارات التشخيص والفحص</w:t>
            </w:r>
          </w:p>
        </w:tc>
      </w:tr>
      <w:tr w:rsidR="006D78ED" w:rsidRPr="002B2C97" w14:paraId="265761A7" w14:textId="77777777" w:rsidTr="173BE974">
        <w:trPr>
          <w:trHeight w:val="864"/>
        </w:trPr>
        <w:tc>
          <w:tcPr>
            <w:tcW w:w="4675" w:type="dxa"/>
          </w:tcPr>
          <w:p w14:paraId="5CD13835" w14:textId="3DDF59CA" w:rsidR="006D78ED" w:rsidRPr="002B2C97" w:rsidRDefault="006D78ED" w:rsidP="00BF0E88">
            <w:pPr>
              <w:autoSpaceDE w:val="0"/>
              <w:autoSpaceDN w:val="0"/>
              <w:adjustRightInd w:val="0"/>
              <w:rPr>
                <w:rFonts w:cstheme="minorHAnsi"/>
                <w:i/>
                <w:iCs/>
                <w:sz w:val="24"/>
                <w:szCs w:val="24"/>
                <w:lang w:bidi="ar-EG"/>
              </w:rPr>
            </w:pPr>
          </w:p>
        </w:tc>
      </w:tr>
      <w:tr w:rsidR="006D78ED" w:rsidRPr="002B2C97" w14:paraId="4AE91A50" w14:textId="77777777" w:rsidTr="173BE974">
        <w:trPr>
          <w:trHeight w:val="288"/>
        </w:trPr>
        <w:tc>
          <w:tcPr>
            <w:tcW w:w="4675" w:type="dxa"/>
          </w:tcPr>
          <w:p w14:paraId="520722AE" w14:textId="6053B083" w:rsidR="006D78ED" w:rsidRPr="002B2C97" w:rsidRDefault="006D78ED" w:rsidP="00BF0E88">
            <w:pPr>
              <w:autoSpaceDE w:val="0"/>
              <w:autoSpaceDN w:val="0"/>
              <w:bidi/>
              <w:adjustRightInd w:val="0"/>
              <w:rPr>
                <w:rFonts w:cstheme="minorHAnsi"/>
                <w:i/>
                <w:iCs/>
                <w:sz w:val="24"/>
                <w:szCs w:val="24"/>
                <w:rtl/>
                <w:lang w:bidi="ar-EG"/>
              </w:rPr>
            </w:pPr>
            <w:r w:rsidRPr="002B2C97">
              <w:rPr>
                <w:rFonts w:cstheme="minorHAnsi"/>
                <w:i/>
                <w:iCs/>
                <w:sz w:val="24"/>
                <w:szCs w:val="24"/>
                <w:rtl/>
                <w:lang w:bidi="ar-EG"/>
              </w:rPr>
              <w:t>الجهود المبذولة لتوفير اللقاحات للمعلمين والموظفين الآخرين والطلاب، إذا كانوا مؤهلين</w:t>
            </w:r>
          </w:p>
        </w:tc>
      </w:tr>
      <w:tr w:rsidR="006D78ED" w:rsidRPr="002B2C97" w14:paraId="1257B165" w14:textId="77777777" w:rsidTr="173BE974">
        <w:trPr>
          <w:trHeight w:val="864"/>
        </w:trPr>
        <w:tc>
          <w:tcPr>
            <w:tcW w:w="4675" w:type="dxa"/>
          </w:tcPr>
          <w:p w14:paraId="5E93EE8E" w14:textId="40DE7B35" w:rsidR="006D78ED" w:rsidRPr="002B2C97" w:rsidRDefault="006D78ED" w:rsidP="00BF0E88">
            <w:pPr>
              <w:autoSpaceDE w:val="0"/>
              <w:autoSpaceDN w:val="0"/>
              <w:adjustRightInd w:val="0"/>
              <w:rPr>
                <w:rFonts w:cstheme="minorHAnsi"/>
                <w:i/>
                <w:iCs/>
                <w:sz w:val="24"/>
                <w:szCs w:val="24"/>
                <w:lang w:bidi="ar-EG"/>
              </w:rPr>
            </w:pPr>
          </w:p>
        </w:tc>
      </w:tr>
      <w:tr w:rsidR="006D78ED" w:rsidRPr="002B2C97" w14:paraId="615EAB04" w14:textId="77777777" w:rsidTr="173BE974">
        <w:trPr>
          <w:trHeight w:val="288"/>
        </w:trPr>
        <w:tc>
          <w:tcPr>
            <w:tcW w:w="4675" w:type="dxa"/>
          </w:tcPr>
          <w:p w14:paraId="68389ADF" w14:textId="3F4B97E1" w:rsidR="006D78ED" w:rsidRPr="002B2C97" w:rsidRDefault="006D78ED" w:rsidP="5E84FD41">
            <w:pPr>
              <w:autoSpaceDE w:val="0"/>
              <w:autoSpaceDN w:val="0"/>
              <w:bidi/>
              <w:adjustRightInd w:val="0"/>
              <w:rPr>
                <w:rFonts w:eastAsia="Open Sans" w:cstheme="minorHAnsi"/>
                <w:sz w:val="24"/>
                <w:szCs w:val="24"/>
                <w:rtl/>
                <w:lang w:bidi="ar-EG"/>
              </w:rPr>
            </w:pPr>
            <w:r w:rsidRPr="002B2C97">
              <w:rPr>
                <w:rFonts w:cstheme="minorHAnsi"/>
                <w:i/>
                <w:iCs/>
                <w:color w:val="000000" w:themeColor="text1"/>
                <w:sz w:val="24"/>
                <w:szCs w:val="24"/>
                <w:rtl/>
                <w:lang w:bidi="ar-EG"/>
              </w:rPr>
              <w:t>ارتداء الكمامات بشكل صحيح وشامل</w:t>
            </w:r>
          </w:p>
        </w:tc>
      </w:tr>
      <w:tr w:rsidR="006D78ED" w:rsidRPr="002B2C97" w14:paraId="389BD02E" w14:textId="77777777" w:rsidTr="173BE974">
        <w:trPr>
          <w:trHeight w:val="864"/>
        </w:trPr>
        <w:tc>
          <w:tcPr>
            <w:tcW w:w="4675" w:type="dxa"/>
          </w:tcPr>
          <w:p w14:paraId="5A7BED43" w14:textId="7A7790D2" w:rsidR="006D78ED" w:rsidRPr="002B2C97" w:rsidRDefault="006D78ED" w:rsidP="00BF0E88">
            <w:pPr>
              <w:autoSpaceDE w:val="0"/>
              <w:autoSpaceDN w:val="0"/>
              <w:adjustRightInd w:val="0"/>
              <w:rPr>
                <w:rFonts w:cstheme="minorHAnsi"/>
                <w:i/>
                <w:iCs/>
                <w:sz w:val="24"/>
                <w:szCs w:val="24"/>
                <w:lang w:bidi="ar-EG"/>
              </w:rPr>
            </w:pPr>
          </w:p>
        </w:tc>
      </w:tr>
    </w:tbl>
    <w:p w14:paraId="59A8B552" w14:textId="77777777" w:rsidR="00C06BCD" w:rsidRPr="002B2C97" w:rsidRDefault="00C06BCD" w:rsidP="00BF0E88">
      <w:pPr>
        <w:autoSpaceDE w:val="0"/>
        <w:autoSpaceDN w:val="0"/>
        <w:adjustRightInd w:val="0"/>
        <w:spacing w:after="0" w:line="240" w:lineRule="auto"/>
        <w:rPr>
          <w:rFonts w:cstheme="minorHAnsi"/>
          <w:i/>
          <w:iCs/>
          <w:sz w:val="24"/>
          <w:szCs w:val="24"/>
          <w:lang w:bidi="ar-EG"/>
        </w:rPr>
      </w:pPr>
    </w:p>
    <w:p w14:paraId="6C200E89" w14:textId="325BFD82" w:rsidR="00BF0E88" w:rsidRPr="002B2C97" w:rsidRDefault="008B41A8" w:rsidP="00CF10D1">
      <w:pPr>
        <w:pStyle w:val="ListParagraph"/>
        <w:numPr>
          <w:ilvl w:val="0"/>
          <w:numId w:val="1"/>
        </w:numPr>
        <w:bidi/>
        <w:ind w:left="270" w:hanging="270"/>
        <w:rPr>
          <w:rFonts w:cstheme="minorHAnsi"/>
          <w:b/>
          <w:bCs/>
          <w:sz w:val="24"/>
          <w:szCs w:val="24"/>
          <w:rtl/>
          <w:lang w:bidi="ar-EG"/>
        </w:rPr>
      </w:pPr>
      <w:r w:rsidRPr="002B2C97">
        <w:rPr>
          <w:rFonts w:cstheme="minorHAnsi"/>
          <w:b/>
          <w:bCs/>
          <w:sz w:val="24"/>
          <w:szCs w:val="24"/>
          <w:rtl/>
          <w:lang w:bidi="ar-EG"/>
        </w:rPr>
        <w:t xml:space="preserve">أعط وصفًا حاليًا لكيفية ضمان مؤسسة </w:t>
      </w:r>
      <w:r w:rsidRPr="002B2C97">
        <w:rPr>
          <w:rFonts w:cstheme="minorHAnsi"/>
          <w:b/>
          <w:bCs/>
          <w:sz w:val="24"/>
          <w:szCs w:val="24"/>
          <w:lang w:bidi="ar-EG"/>
        </w:rPr>
        <w:t>LEA</w:t>
      </w:r>
      <w:r w:rsidRPr="002B2C97">
        <w:rPr>
          <w:rFonts w:cstheme="minorHAnsi"/>
          <w:b/>
          <w:bCs/>
          <w:sz w:val="24"/>
          <w:szCs w:val="24"/>
          <w:rtl/>
          <w:lang w:bidi="ar-EG"/>
        </w:rPr>
        <w:t xml:space="preserve"> لاستمرار الخدمات بما في ذلك، على سبيل المثال لا الحصر، خدمات تلبية الاحتياجات الأكاديمية للطلاب، والاحتياجات الاجتماعية والعاطفية والعقلية للطلاب والموظفين والاحتياجات الأخرى، والتي قد تشمل خدمات صحة الطلاب والغذاء.</w:t>
      </w:r>
    </w:p>
    <w:tbl>
      <w:tblPr>
        <w:tblStyle w:val="TableGrid"/>
        <w:bidiVisual/>
        <w:tblW w:w="5000" w:type="pct"/>
        <w:tblLook w:val="04A0" w:firstRow="1" w:lastRow="0" w:firstColumn="1" w:lastColumn="0" w:noHBand="0" w:noVBand="1"/>
      </w:tblPr>
      <w:tblGrid>
        <w:gridCol w:w="10070"/>
      </w:tblGrid>
      <w:tr w:rsidR="006D78ED" w:rsidRPr="005E3C9F" w14:paraId="27DF6CE2" w14:textId="77777777" w:rsidTr="007A0008">
        <w:trPr>
          <w:trHeight w:val="548"/>
        </w:trPr>
        <w:tc>
          <w:tcPr>
            <w:tcW w:w="9350" w:type="dxa"/>
          </w:tcPr>
          <w:p w14:paraId="61BCED10" w14:textId="77777777" w:rsidR="006D78ED" w:rsidRPr="005E3C9F" w:rsidRDefault="006D78ED" w:rsidP="006D78ED">
            <w:pPr>
              <w:autoSpaceDE w:val="0"/>
              <w:autoSpaceDN w:val="0"/>
              <w:adjustRightInd w:val="0"/>
              <w:rPr>
                <w:rFonts w:cstheme="minorHAnsi"/>
                <w:sz w:val="24"/>
                <w:szCs w:val="24"/>
                <w:lang w:bidi="ar-EG"/>
              </w:rPr>
            </w:pPr>
          </w:p>
        </w:tc>
      </w:tr>
    </w:tbl>
    <w:p w14:paraId="6156D206" w14:textId="3DA04865" w:rsidR="006D78ED" w:rsidRPr="00FF59C3" w:rsidRDefault="006D78ED" w:rsidP="007A0008">
      <w:pPr>
        <w:rPr>
          <w:rFonts w:cstheme="minorHAnsi"/>
          <w:b/>
          <w:bCs/>
          <w:sz w:val="20"/>
          <w:szCs w:val="20"/>
          <w:lang w:bidi="ar-EG"/>
        </w:rPr>
      </w:pPr>
    </w:p>
    <w:sectPr w:rsidR="006D78ED" w:rsidRPr="00FF59C3" w:rsidSect="00C25ED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0D32" w14:textId="77777777" w:rsidR="00CE3AB3" w:rsidRDefault="00CE3AB3" w:rsidP="000D7E9E">
      <w:pPr>
        <w:spacing w:after="0" w:line="240" w:lineRule="auto"/>
      </w:pPr>
      <w:r>
        <w:separator/>
      </w:r>
    </w:p>
  </w:endnote>
  <w:endnote w:type="continuationSeparator" w:id="0">
    <w:p w14:paraId="7006ABC2" w14:textId="77777777" w:rsidR="00CE3AB3" w:rsidRDefault="00CE3AB3" w:rsidP="000D7E9E">
      <w:pPr>
        <w:spacing w:after="0" w:line="240" w:lineRule="auto"/>
      </w:pPr>
      <w:r>
        <w:continuationSeparator/>
      </w:r>
    </w:p>
  </w:endnote>
  <w:endnote w:type="continuationNotice" w:id="1">
    <w:p w14:paraId="2C240E27" w14:textId="77777777" w:rsidR="00CE3AB3" w:rsidRDefault="00CE3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0E41" w14:textId="77777777" w:rsidR="002B2C97" w:rsidRDefault="002B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A467" w14:textId="77777777" w:rsidR="00C25ED8" w:rsidRPr="005E3C9F" w:rsidRDefault="00C25ED8" w:rsidP="00C25ED8">
    <w:pPr>
      <w:pStyle w:val="Footer"/>
      <w:bidi/>
      <w:rPr>
        <w:rFonts w:cstheme="minorHAnsi"/>
        <w:color w:val="525252" w:themeColor="accent3" w:themeShade="80"/>
        <w:sz w:val="18"/>
        <w:rtl/>
      </w:rPr>
    </w:pPr>
    <w:r w:rsidRPr="005E3C9F">
      <w:rPr>
        <w:rFonts w:cstheme="minorHAnsi"/>
        <w:noProof/>
        <w:color w:val="525252" w:themeColor="accent3" w:themeShade="80"/>
        <w:sz w:val="18"/>
        <w:rtl/>
      </w:rPr>
      <mc:AlternateContent>
        <mc:Choice Requires="wps">
          <w:drawing>
            <wp:anchor distT="45720" distB="45720" distL="114300" distR="114300" simplePos="0" relativeHeight="251658241" behindDoc="0" locked="0" layoutInCell="1" allowOverlap="1" wp14:anchorId="2AA85ABB" wp14:editId="17AD7D8B">
              <wp:simplePos x="0" y="0"/>
              <wp:positionH relativeFrom="column">
                <wp:posOffset>4530090</wp:posOffset>
              </wp:positionH>
              <wp:positionV relativeFrom="paragraph">
                <wp:posOffset>-41579</wp:posOffset>
              </wp:positionV>
              <wp:extent cx="18440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noFill/>
                        <a:miter lim="800000"/>
                        <a:headEnd/>
                        <a:tailEnd/>
                      </a:ln>
                    </wps:spPr>
                    <wps:txbx>
                      <w:txbxContent>
                        <w:p w14:paraId="3751C88D" w14:textId="44353268" w:rsidR="00C25ED8" w:rsidRPr="00515B3A" w:rsidRDefault="00C25ED8" w:rsidP="00546753">
                          <w:pPr>
                            <w:bidi/>
                            <w:rPr>
                              <w:rFonts w:ascii="Open Sans" w:hAnsi="Open Sans" w:cs="Open Sans"/>
                              <w:color w:val="3B3838" w:themeColor="background2" w:themeShade="40"/>
                              <w:rtl/>
                            </w:rPr>
                          </w:pPr>
                          <w:r w:rsidRPr="00515B3A">
                            <w:rPr>
                              <w:rFonts w:ascii="Open Sans" w:eastAsia="Open Sans" w:hAnsi="Open Sans" w:cs="Open Sans" w:hint="cs"/>
                              <w:color w:val="3B3838" w:themeColor="background2" w:themeShade="40"/>
                              <w:sz w:val="18"/>
                              <w:szCs w:val="18"/>
                              <w:rtl/>
                            </w:rPr>
                            <w:fldChar w:fldCharType="begin"/>
                          </w:r>
                          <w:r>
                            <w:rPr>
                              <w:rtl/>
                            </w:rPr>
                            <w:instrText xml:space="preserve"> </w:instrText>
                          </w:r>
                          <w:r w:rsidRPr="00515B3A">
                            <w:rPr>
                              <w:rFonts w:ascii="Open Sans" w:eastAsia="Open Sans" w:hAnsi="Open Sans" w:cs="Open Sans" w:hint="cs"/>
                              <w:color w:val="3B3838" w:themeColor="background2" w:themeShade="40"/>
                              <w:sz w:val="18"/>
                              <w:szCs w:val="18"/>
                            </w:rPr>
                            <w:instrText xml:space="preserve">PAGE   \* MERGEFORMAT </w:instrText>
                          </w:r>
                          <w:r w:rsidRPr="00515B3A">
                            <w:rPr>
                              <w:rFonts w:ascii="Open Sans" w:eastAsia="Open Sans" w:hAnsi="Open Sans" w:cs="Open Sans" w:hint="cs"/>
                              <w:color w:val="3B3838" w:themeColor="background2" w:themeShade="40"/>
                              <w:sz w:val="18"/>
                              <w:szCs w:val="18"/>
                              <w:rtl/>
                            </w:rPr>
                            <w:fldChar w:fldCharType="separate"/>
                          </w:r>
                          <w:r>
                            <w:rPr>
                              <w:rFonts w:ascii="Open Sans" w:eastAsia="Open Sans" w:hAnsi="Open Sans" w:cs="Open Sans" w:hint="cs"/>
                              <w:color w:val="3B3838" w:themeColor="background2" w:themeShade="40"/>
                              <w:sz w:val="18"/>
                              <w:szCs w:val="18"/>
                              <w:rtl/>
                            </w:rPr>
                            <w:t>1</w:t>
                          </w:r>
                          <w:r w:rsidRPr="00515B3A">
                            <w:rPr>
                              <w:rFonts w:ascii="Open Sans" w:eastAsia="Open Sans" w:hAnsi="Open Sans" w:cs="Open Sans" w:hint="cs"/>
                              <w:color w:val="3B3838" w:themeColor="background2" w:themeShade="40"/>
                              <w:sz w:val="18"/>
                              <w:szCs w:val="18"/>
                              <w:rtl/>
                            </w:rPr>
                            <w:fldChar w:fldCharType="end"/>
                          </w:r>
                          <w:r>
                            <w:rPr>
                              <w:rFonts w:ascii="Open Sans" w:hAnsi="Open Sans" w:hint="cs"/>
                              <w:color w:val="3B3838" w:themeColor="background2" w:themeShade="40"/>
                              <w:sz w:val="18"/>
                              <w:szCs w:val="18"/>
                              <w:rtl/>
                            </w:rPr>
                            <w:t xml:space="preserve"> | </w:t>
                          </w:r>
                          <w:r w:rsidR="009B6A0B" w:rsidRPr="002B2C97">
                            <w:rPr>
                              <w:rFonts w:ascii="Open Sans" w:hAnsi="Open Sans" w:hint="cs"/>
                              <w:color w:val="3B3838" w:themeColor="background2" w:themeShade="40"/>
                              <w:sz w:val="18"/>
                              <w:szCs w:val="18"/>
                              <w:rtl/>
                            </w:rPr>
                            <w:t>أغسطس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85ABB" id="_x0000_t202" coordsize="21600,21600" o:spt="202" path="m,l,21600r21600,l21600,xe">
              <v:stroke joinstyle="miter"/>
              <v:path gradientshapeok="t" o:connecttype="rect"/>
            </v:shapetype>
            <v:shape id="Text Box 2" o:spid="_x0000_s1026" type="#_x0000_t202" style="position:absolute;left:0;text-align:left;margin-left:356.7pt;margin-top:-3.25pt;width:14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K1Cw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" stroked="f">
              <v:textbox style="mso-fit-shape-to-text:t">
                <w:txbxContent>
                  <w:p w14:paraId="3751C88D" w14:textId="44353268" w:rsidR="00C25ED8" w:rsidRPr="00515B3A" w:rsidRDefault="00C25ED8" w:rsidP="00546753">
                    <w:pPr>
                      <w:bidi/>
                      <w:rPr>
                        <w:rFonts w:ascii="Open Sans" w:hAnsi="Open Sans" w:cs="Open Sans"/>
                        <w:color w:val="3B3838" w:themeColor="background2" w:themeShade="40"/>
                        <w:rtl/>
                      </w:rPr>
                    </w:pPr>
                    <w:r w:rsidRPr="00515B3A">
                      <w:rPr>
                        <w:rFonts w:ascii="Open Sans" w:eastAsia="Open Sans" w:hAnsi="Open Sans" w:cs="Open Sans" w:hint="cs"/>
                        <w:color w:val="3B3838" w:themeColor="background2" w:themeShade="40"/>
                        <w:sz w:val="18"/>
                        <w:szCs w:val="18"/>
                        <w:rtl/>
                      </w:rPr>
                      <w:fldChar w:fldCharType="begin"/>
                    </w:r>
                    <w:r>
                      <w:rPr>
                        <w:rtl/>
                      </w:rPr>
                      <w:instrText xml:space="preserve"> </w:instrText>
                    </w:r>
                    <w:r w:rsidRPr="00515B3A">
                      <w:rPr>
                        <w:rFonts w:ascii="Open Sans" w:eastAsia="Open Sans" w:hAnsi="Open Sans" w:cs="Open Sans" w:hint="cs"/>
                        <w:color w:val="3B3838" w:themeColor="background2" w:themeShade="40"/>
                        <w:sz w:val="18"/>
                        <w:szCs w:val="18"/>
                      </w:rPr>
                      <w:instrText xml:space="preserve">PAGE   \* MERGEFORMAT </w:instrText>
                    </w:r>
                    <w:r w:rsidRPr="00515B3A">
                      <w:rPr>
                        <w:rFonts w:ascii="Open Sans" w:eastAsia="Open Sans" w:hAnsi="Open Sans" w:cs="Open Sans" w:hint="cs"/>
                        <w:color w:val="3B3838" w:themeColor="background2" w:themeShade="40"/>
                        <w:sz w:val="18"/>
                        <w:szCs w:val="18"/>
                        <w:rtl/>
                      </w:rPr>
                      <w:fldChar w:fldCharType="separate"/>
                    </w:r>
                    <w:r>
                      <w:rPr>
                        <w:rFonts w:ascii="Open Sans" w:eastAsia="Open Sans" w:hAnsi="Open Sans" w:cs="Open Sans" w:hint="cs"/>
                        <w:color w:val="3B3838" w:themeColor="background2" w:themeShade="40"/>
                        <w:sz w:val="18"/>
                        <w:szCs w:val="18"/>
                        <w:rtl/>
                      </w:rPr>
                      <w:t>1</w:t>
                    </w:r>
                    <w:r w:rsidRPr="00515B3A">
                      <w:rPr>
                        <w:rFonts w:ascii="Open Sans" w:eastAsia="Open Sans" w:hAnsi="Open Sans" w:cs="Open Sans" w:hint="cs"/>
                        <w:color w:val="3B3838" w:themeColor="background2" w:themeShade="40"/>
                        <w:sz w:val="18"/>
                        <w:szCs w:val="18"/>
                        <w:rtl/>
                      </w:rPr>
                      <w:fldChar w:fldCharType="end"/>
                    </w:r>
                    <w:r>
                      <w:rPr>
                        <w:rFonts w:ascii="Open Sans" w:hAnsi="Open Sans" w:hint="cs"/>
                        <w:color w:val="3B3838" w:themeColor="background2" w:themeShade="40"/>
                        <w:sz w:val="18"/>
                        <w:szCs w:val="18"/>
                        <w:rtl/>
                      </w:rPr>
                      <w:t xml:space="preserve"> | </w:t>
                    </w:r>
                    <w:r w:rsidR="009B6A0B" w:rsidRPr="002B2C97">
                      <w:rPr>
                        <w:rFonts w:ascii="Open Sans" w:hAnsi="Open Sans" w:hint="cs"/>
                        <w:color w:val="3B3838" w:themeColor="background2" w:themeShade="40"/>
                        <w:sz w:val="18"/>
                        <w:szCs w:val="18"/>
                        <w:rtl/>
                      </w:rPr>
                      <w:t>أغسطس 2022</w:t>
                    </w:r>
                  </w:p>
                </w:txbxContent>
              </v:textbox>
              <w10:wrap type="square"/>
            </v:shape>
          </w:pict>
        </mc:Fallback>
      </mc:AlternateContent>
    </w:r>
    <w:r w:rsidRPr="005E3C9F">
      <w:rPr>
        <w:rFonts w:cstheme="minorHAnsi"/>
        <w:noProof/>
        <w:sz w:val="20"/>
        <w:rtl/>
      </w:rPr>
      <mc:AlternateContent>
        <mc:Choice Requires="wps">
          <w:drawing>
            <wp:anchor distT="0" distB="0" distL="114300" distR="114300" simplePos="0" relativeHeight="251658240" behindDoc="0" locked="0" layoutInCell="1" allowOverlap="1" wp14:anchorId="75B60D84" wp14:editId="643180DB">
              <wp:simplePos x="0" y="0"/>
              <wp:positionH relativeFrom="column">
                <wp:posOffset>-24765</wp:posOffset>
              </wp:positionH>
              <wp:positionV relativeFrom="paragraph">
                <wp:posOffset>-92548</wp:posOffset>
              </wp:positionV>
              <wp:extent cx="6400800" cy="0"/>
              <wp:effectExtent l="0" t="0" r="19050" b="1905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Straight Connector 5"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line - Description: Red Line&#10;" o:spid="_x0000_s1026" strokecolor="#c82630" strokeweight=".5pt" from="-1.95pt,-7.3pt" to="502.05pt,-7.3pt" w14:anchorId="40987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">
              <v:stroke joinstyle="miter"/>
            </v:line>
          </w:pict>
        </mc:Fallback>
      </mc:AlternateContent>
    </w:r>
    <w:r w:rsidRPr="005E3C9F">
      <w:rPr>
        <w:rFonts w:cstheme="minorHAnsi"/>
        <w:color w:val="525252" w:themeColor="accent3" w:themeShade="80"/>
        <w:sz w:val="18"/>
        <w:rtl/>
      </w:rPr>
      <w:t>قسم البرامج والمراقبة الفيدرالية</w:t>
    </w:r>
    <w:r w:rsidRPr="005E3C9F">
      <w:rPr>
        <w:rFonts w:cstheme="minorHAnsi"/>
        <w:color w:val="525252" w:themeColor="accent3" w:themeShade="80"/>
        <w:sz w:val="18"/>
        <w:rtl/>
      </w:rPr>
      <w:br/>
    </w:r>
    <w:r w:rsidRPr="005E3C9F">
      <w:rPr>
        <w:rFonts w:cstheme="minorHAnsi"/>
        <w:color w:val="525252" w:themeColor="accent3" w:themeShade="80"/>
        <w:sz w:val="18"/>
      </w:rPr>
      <w:t>Andrew Johnson Tower • 710 James Robertson Parkway • Nashville, TN 37243</w:t>
    </w:r>
  </w:p>
  <w:p w14:paraId="61C131DC" w14:textId="1D3A88B1" w:rsidR="000D7E9E" w:rsidRPr="005E3C9F" w:rsidRDefault="00C25ED8">
    <w:pPr>
      <w:pStyle w:val="Footer"/>
      <w:bidi/>
      <w:rPr>
        <w:rFonts w:cstheme="minorHAnsi"/>
        <w:color w:val="525252" w:themeColor="accent3" w:themeShade="80"/>
        <w:sz w:val="18"/>
        <w:rtl/>
      </w:rPr>
    </w:pPr>
    <w:r w:rsidRPr="005E3C9F">
      <w:rPr>
        <w:rFonts w:cstheme="minorHAnsi"/>
        <w:color w:val="525252" w:themeColor="accent3" w:themeShade="80"/>
        <w:sz w:val="18"/>
      </w:rPr>
      <w:t>tn.gov/education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ADC8" w14:textId="77777777" w:rsidR="002B2C97" w:rsidRDefault="002B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4794" w14:textId="77777777" w:rsidR="00CE3AB3" w:rsidRDefault="00CE3AB3" w:rsidP="000D7E9E">
      <w:pPr>
        <w:spacing w:after="0" w:line="240" w:lineRule="auto"/>
      </w:pPr>
      <w:r>
        <w:separator/>
      </w:r>
    </w:p>
  </w:footnote>
  <w:footnote w:type="continuationSeparator" w:id="0">
    <w:p w14:paraId="7D108380" w14:textId="77777777" w:rsidR="00CE3AB3" w:rsidRDefault="00CE3AB3" w:rsidP="000D7E9E">
      <w:pPr>
        <w:spacing w:after="0" w:line="240" w:lineRule="auto"/>
      </w:pPr>
      <w:r>
        <w:continuationSeparator/>
      </w:r>
    </w:p>
  </w:footnote>
  <w:footnote w:type="continuationNotice" w:id="1">
    <w:p w14:paraId="5B352954" w14:textId="77777777" w:rsidR="00CE3AB3" w:rsidRDefault="00CE3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E73E" w14:textId="77777777" w:rsidR="002B2C97" w:rsidRDefault="002B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BC4" w14:textId="59FD5EF0" w:rsidR="000D7E9E" w:rsidRDefault="000D7E9E">
    <w:pPr>
      <w:pStyle w:val="Header"/>
      <w:bidi/>
      <w:rPr>
        <w:rtl/>
      </w:rPr>
    </w:pPr>
    <w:r>
      <w:rPr>
        <w:rFonts w:hint="cs"/>
        <w:noProof/>
        <w:rtl/>
      </w:rPr>
      <w:drawing>
        <wp:inline distT="0" distB="0" distL="0" distR="0" wp14:anchorId="29555D32" wp14:editId="04555DD5">
          <wp:extent cx="1417320" cy="557784"/>
          <wp:effectExtent l="0" t="0" r="0" b="0"/>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inline>
      </w:drawing>
    </w:r>
  </w:p>
  <w:p w14:paraId="682FFD9E" w14:textId="77777777" w:rsidR="000D7E9E" w:rsidRDefault="000D7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5654" w14:textId="77777777" w:rsidR="002B2C97" w:rsidRDefault="002B2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A751F"/>
    <w:multiLevelType w:val="hybridMultilevel"/>
    <w:tmpl w:val="73CCF5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726DF"/>
    <w:multiLevelType w:val="hybridMultilevel"/>
    <w:tmpl w:val="CAD60562"/>
    <w:lvl w:ilvl="0" w:tplc="D020E290">
      <w:start w:val="1"/>
      <w:numFmt w:val="decimal"/>
      <w:lvlText w:val="%1."/>
      <w:lvlJc w:val="left"/>
      <w:pPr>
        <w:ind w:left="360" w:hanging="360"/>
      </w:pPr>
    </w:lvl>
    <w:lvl w:ilvl="1" w:tplc="59D6BE6A">
      <w:start w:val="1"/>
      <w:numFmt w:val="lowerLetter"/>
      <w:lvlText w:val="%2."/>
      <w:lvlJc w:val="left"/>
      <w:pPr>
        <w:ind w:left="1080" w:hanging="360"/>
      </w:pPr>
    </w:lvl>
    <w:lvl w:ilvl="2" w:tplc="9D0EB1AC">
      <w:start w:val="1"/>
      <w:numFmt w:val="lowerRoman"/>
      <w:lvlText w:val="%3."/>
      <w:lvlJc w:val="right"/>
      <w:pPr>
        <w:ind w:left="1800" w:hanging="180"/>
      </w:pPr>
    </w:lvl>
    <w:lvl w:ilvl="3" w:tplc="9594D97A">
      <w:start w:val="1"/>
      <w:numFmt w:val="decimal"/>
      <w:lvlText w:val="%4."/>
      <w:lvlJc w:val="left"/>
      <w:pPr>
        <w:ind w:left="2520" w:hanging="360"/>
      </w:pPr>
    </w:lvl>
    <w:lvl w:ilvl="4" w:tplc="B94C31D0">
      <w:start w:val="1"/>
      <w:numFmt w:val="lowerLetter"/>
      <w:lvlText w:val="%5."/>
      <w:lvlJc w:val="left"/>
      <w:pPr>
        <w:ind w:left="3240" w:hanging="360"/>
      </w:pPr>
    </w:lvl>
    <w:lvl w:ilvl="5" w:tplc="5756D6A8">
      <w:start w:val="1"/>
      <w:numFmt w:val="lowerRoman"/>
      <w:lvlText w:val="%6."/>
      <w:lvlJc w:val="right"/>
      <w:pPr>
        <w:ind w:left="3960" w:hanging="180"/>
      </w:pPr>
    </w:lvl>
    <w:lvl w:ilvl="6" w:tplc="68CE3764">
      <w:start w:val="1"/>
      <w:numFmt w:val="decimal"/>
      <w:lvlText w:val="%7."/>
      <w:lvlJc w:val="left"/>
      <w:pPr>
        <w:ind w:left="4680" w:hanging="360"/>
      </w:pPr>
    </w:lvl>
    <w:lvl w:ilvl="7" w:tplc="60FCF6BE">
      <w:start w:val="1"/>
      <w:numFmt w:val="lowerLetter"/>
      <w:lvlText w:val="%8."/>
      <w:lvlJc w:val="left"/>
      <w:pPr>
        <w:ind w:left="5400" w:hanging="360"/>
      </w:pPr>
    </w:lvl>
    <w:lvl w:ilvl="8" w:tplc="6C44F86A">
      <w:start w:val="1"/>
      <w:numFmt w:val="lowerRoman"/>
      <w:lvlText w:val="%9."/>
      <w:lvlJc w:val="right"/>
      <w:pPr>
        <w:ind w:left="6120" w:hanging="180"/>
      </w:pPr>
    </w:lvl>
  </w:abstractNum>
  <w:abstractNum w:abstractNumId="2" w15:restartNumberingAfterBreak="0">
    <w:nsid w:val="3B8B727F"/>
    <w:multiLevelType w:val="hybridMultilevel"/>
    <w:tmpl w:val="697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12BC1"/>
    <w:multiLevelType w:val="hybridMultilevel"/>
    <w:tmpl w:val="0260945A"/>
    <w:lvl w:ilvl="0" w:tplc="FFFFFFFF">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trQ0MDG3MLdQ0lEKTi0uzszPAykwqQUAmBaENCwAAAA="/>
  </w:docVars>
  <w:rsids>
    <w:rsidRoot w:val="00EC04B0"/>
    <w:rsid w:val="0004469F"/>
    <w:rsid w:val="00056F5B"/>
    <w:rsid w:val="00096988"/>
    <w:rsid w:val="000D7E9E"/>
    <w:rsid w:val="000F4863"/>
    <w:rsid w:val="000F7C25"/>
    <w:rsid w:val="00116541"/>
    <w:rsid w:val="00146D99"/>
    <w:rsid w:val="0016120D"/>
    <w:rsid w:val="00196483"/>
    <w:rsid w:val="001A4F30"/>
    <w:rsid w:val="001D32F4"/>
    <w:rsid w:val="001F7468"/>
    <w:rsid w:val="00223829"/>
    <w:rsid w:val="00242ED5"/>
    <w:rsid w:val="0024473D"/>
    <w:rsid w:val="002B2C97"/>
    <w:rsid w:val="002D5E48"/>
    <w:rsid w:val="0031137F"/>
    <w:rsid w:val="00370F5E"/>
    <w:rsid w:val="00372DF1"/>
    <w:rsid w:val="003C61A2"/>
    <w:rsid w:val="00483C49"/>
    <w:rsid w:val="00493901"/>
    <w:rsid w:val="004E4FCF"/>
    <w:rsid w:val="004F2F59"/>
    <w:rsid w:val="00546753"/>
    <w:rsid w:val="00550296"/>
    <w:rsid w:val="005A4D21"/>
    <w:rsid w:val="005B1532"/>
    <w:rsid w:val="005D6FEC"/>
    <w:rsid w:val="005E1E89"/>
    <w:rsid w:val="005E3C9F"/>
    <w:rsid w:val="006513C8"/>
    <w:rsid w:val="006A3BE2"/>
    <w:rsid w:val="006D78ED"/>
    <w:rsid w:val="006F7174"/>
    <w:rsid w:val="007025BC"/>
    <w:rsid w:val="00706238"/>
    <w:rsid w:val="00722F1A"/>
    <w:rsid w:val="007411A2"/>
    <w:rsid w:val="007908D0"/>
    <w:rsid w:val="007924E0"/>
    <w:rsid w:val="007976B8"/>
    <w:rsid w:val="007A0008"/>
    <w:rsid w:val="007B0228"/>
    <w:rsid w:val="007E704D"/>
    <w:rsid w:val="007F1755"/>
    <w:rsid w:val="007F2524"/>
    <w:rsid w:val="0080643B"/>
    <w:rsid w:val="00806807"/>
    <w:rsid w:val="00807254"/>
    <w:rsid w:val="00827D79"/>
    <w:rsid w:val="00832507"/>
    <w:rsid w:val="00834157"/>
    <w:rsid w:val="008B41A8"/>
    <w:rsid w:val="008C793A"/>
    <w:rsid w:val="008F0BD8"/>
    <w:rsid w:val="00910587"/>
    <w:rsid w:val="009575C2"/>
    <w:rsid w:val="0097295B"/>
    <w:rsid w:val="00982D16"/>
    <w:rsid w:val="00987F12"/>
    <w:rsid w:val="009B6A0B"/>
    <w:rsid w:val="00A241FF"/>
    <w:rsid w:val="00A6242A"/>
    <w:rsid w:val="00A65F81"/>
    <w:rsid w:val="00A66D45"/>
    <w:rsid w:val="00A736C0"/>
    <w:rsid w:val="00A737B8"/>
    <w:rsid w:val="00AA446B"/>
    <w:rsid w:val="00AA7FE0"/>
    <w:rsid w:val="00AC4ED9"/>
    <w:rsid w:val="00B05A99"/>
    <w:rsid w:val="00B707B9"/>
    <w:rsid w:val="00BC4D34"/>
    <w:rsid w:val="00BD0D95"/>
    <w:rsid w:val="00BE3E61"/>
    <w:rsid w:val="00BF0E88"/>
    <w:rsid w:val="00C06BCD"/>
    <w:rsid w:val="00C25ED8"/>
    <w:rsid w:val="00CC6E6B"/>
    <w:rsid w:val="00CE3AB3"/>
    <w:rsid w:val="00CF10D1"/>
    <w:rsid w:val="00D07A1C"/>
    <w:rsid w:val="00D468F2"/>
    <w:rsid w:val="00D524C8"/>
    <w:rsid w:val="00DA36BB"/>
    <w:rsid w:val="00DC40A7"/>
    <w:rsid w:val="00DD669C"/>
    <w:rsid w:val="00E07822"/>
    <w:rsid w:val="00E1774E"/>
    <w:rsid w:val="00E4268D"/>
    <w:rsid w:val="00E4600E"/>
    <w:rsid w:val="00E8076C"/>
    <w:rsid w:val="00E973DE"/>
    <w:rsid w:val="00E97F48"/>
    <w:rsid w:val="00EA782E"/>
    <w:rsid w:val="00EC04B0"/>
    <w:rsid w:val="00ED4112"/>
    <w:rsid w:val="00EE3351"/>
    <w:rsid w:val="00F23B39"/>
    <w:rsid w:val="00F35EDE"/>
    <w:rsid w:val="00F6630E"/>
    <w:rsid w:val="00F94EE8"/>
    <w:rsid w:val="00FF59C3"/>
    <w:rsid w:val="01EF11C9"/>
    <w:rsid w:val="024B9667"/>
    <w:rsid w:val="024FAF44"/>
    <w:rsid w:val="065DCD43"/>
    <w:rsid w:val="07A8FDD7"/>
    <w:rsid w:val="0870DCEA"/>
    <w:rsid w:val="093690FE"/>
    <w:rsid w:val="0B627239"/>
    <w:rsid w:val="0BAC52CE"/>
    <w:rsid w:val="0FCA5699"/>
    <w:rsid w:val="1055E2A6"/>
    <w:rsid w:val="11109DBF"/>
    <w:rsid w:val="11917ABA"/>
    <w:rsid w:val="11D311A9"/>
    <w:rsid w:val="12507ADE"/>
    <w:rsid w:val="12F0C497"/>
    <w:rsid w:val="1331836B"/>
    <w:rsid w:val="1494C8E7"/>
    <w:rsid w:val="15E50BFC"/>
    <w:rsid w:val="167BDE93"/>
    <w:rsid w:val="173BE974"/>
    <w:rsid w:val="186B5104"/>
    <w:rsid w:val="19EEA9C4"/>
    <w:rsid w:val="1E2282D0"/>
    <w:rsid w:val="1E397907"/>
    <w:rsid w:val="1EB64644"/>
    <w:rsid w:val="21BE913A"/>
    <w:rsid w:val="21EFF4DA"/>
    <w:rsid w:val="23A9C024"/>
    <w:rsid w:val="2442C479"/>
    <w:rsid w:val="24A11B40"/>
    <w:rsid w:val="24DD099F"/>
    <w:rsid w:val="25D8946E"/>
    <w:rsid w:val="26DF5E50"/>
    <w:rsid w:val="26ED68F5"/>
    <w:rsid w:val="271D2D44"/>
    <w:rsid w:val="28FC5D56"/>
    <w:rsid w:val="2C5148ED"/>
    <w:rsid w:val="2C708CD5"/>
    <w:rsid w:val="2D45F4B4"/>
    <w:rsid w:val="2ECA59C5"/>
    <w:rsid w:val="2EF8CB3B"/>
    <w:rsid w:val="2F84A497"/>
    <w:rsid w:val="30E81C61"/>
    <w:rsid w:val="317419D8"/>
    <w:rsid w:val="3203461D"/>
    <w:rsid w:val="32991AA4"/>
    <w:rsid w:val="335F4A8E"/>
    <w:rsid w:val="34107E37"/>
    <w:rsid w:val="35F87EC7"/>
    <w:rsid w:val="36D8B9BD"/>
    <w:rsid w:val="374EB2C5"/>
    <w:rsid w:val="39FB615B"/>
    <w:rsid w:val="3B626EED"/>
    <w:rsid w:val="3C4524F7"/>
    <w:rsid w:val="3CFE3F4E"/>
    <w:rsid w:val="436675D4"/>
    <w:rsid w:val="440ADDB2"/>
    <w:rsid w:val="454CAF22"/>
    <w:rsid w:val="4557AC99"/>
    <w:rsid w:val="46E531D1"/>
    <w:rsid w:val="49CB877F"/>
    <w:rsid w:val="4AB75CEC"/>
    <w:rsid w:val="4CA09EEF"/>
    <w:rsid w:val="4D1C509E"/>
    <w:rsid w:val="50258596"/>
    <w:rsid w:val="523389C0"/>
    <w:rsid w:val="525AC412"/>
    <w:rsid w:val="53011148"/>
    <w:rsid w:val="574B885F"/>
    <w:rsid w:val="5920757E"/>
    <w:rsid w:val="5995911D"/>
    <w:rsid w:val="5BC41CE4"/>
    <w:rsid w:val="5C581640"/>
    <w:rsid w:val="5CCCE49C"/>
    <w:rsid w:val="5D90D022"/>
    <w:rsid w:val="5E84FD41"/>
    <w:rsid w:val="614BBB3B"/>
    <w:rsid w:val="62E08021"/>
    <w:rsid w:val="65C49F96"/>
    <w:rsid w:val="66EAE71F"/>
    <w:rsid w:val="677FEB02"/>
    <w:rsid w:val="67B3F144"/>
    <w:rsid w:val="690ACF32"/>
    <w:rsid w:val="69369948"/>
    <w:rsid w:val="699CF8B3"/>
    <w:rsid w:val="6A230AA9"/>
    <w:rsid w:val="6A8F11E4"/>
    <w:rsid w:val="6AF4E052"/>
    <w:rsid w:val="6CA8DEB9"/>
    <w:rsid w:val="6D80EDD7"/>
    <w:rsid w:val="70A3C0EC"/>
    <w:rsid w:val="71CD3E27"/>
    <w:rsid w:val="730459EE"/>
    <w:rsid w:val="7305F27D"/>
    <w:rsid w:val="756D0EE2"/>
    <w:rsid w:val="761D09D6"/>
    <w:rsid w:val="777FFC3C"/>
    <w:rsid w:val="782C1AF9"/>
    <w:rsid w:val="7A260E19"/>
    <w:rsid w:val="7AA26C10"/>
    <w:rsid w:val="7AF85499"/>
    <w:rsid w:val="7D34C902"/>
    <w:rsid w:val="7DCE9066"/>
    <w:rsid w:val="7ECF962D"/>
    <w:rsid w:val="7F576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AE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D34"/>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9E"/>
  </w:style>
  <w:style w:type="paragraph" w:styleId="Footer">
    <w:name w:val="footer"/>
    <w:basedOn w:val="Normal"/>
    <w:link w:val="FooterChar"/>
    <w:uiPriority w:val="99"/>
    <w:unhideWhenUsed/>
    <w:rsid w:val="000D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9E"/>
  </w:style>
  <w:style w:type="character" w:styleId="CommentReference">
    <w:name w:val="annotation reference"/>
    <w:basedOn w:val="DefaultParagraphFont"/>
    <w:uiPriority w:val="99"/>
    <w:semiHidden/>
    <w:unhideWhenUsed/>
    <w:rsid w:val="00EE3351"/>
    <w:rPr>
      <w:sz w:val="16"/>
      <w:szCs w:val="16"/>
    </w:rPr>
  </w:style>
  <w:style w:type="paragraph" w:styleId="CommentText">
    <w:name w:val="annotation text"/>
    <w:basedOn w:val="Normal"/>
    <w:link w:val="CommentTextChar"/>
    <w:uiPriority w:val="99"/>
    <w:semiHidden/>
    <w:unhideWhenUsed/>
    <w:rsid w:val="00EE3351"/>
    <w:pPr>
      <w:spacing w:line="240" w:lineRule="auto"/>
    </w:pPr>
    <w:rPr>
      <w:sz w:val="20"/>
      <w:szCs w:val="20"/>
    </w:rPr>
  </w:style>
  <w:style w:type="character" w:customStyle="1" w:styleId="CommentTextChar">
    <w:name w:val="Comment Text Char"/>
    <w:basedOn w:val="DefaultParagraphFont"/>
    <w:link w:val="CommentText"/>
    <w:uiPriority w:val="99"/>
    <w:semiHidden/>
    <w:rsid w:val="00EE3351"/>
    <w:rPr>
      <w:sz w:val="20"/>
      <w:szCs w:val="20"/>
    </w:rPr>
  </w:style>
  <w:style w:type="paragraph" w:styleId="CommentSubject">
    <w:name w:val="annotation subject"/>
    <w:basedOn w:val="CommentText"/>
    <w:next w:val="CommentText"/>
    <w:link w:val="CommentSubjectChar"/>
    <w:uiPriority w:val="99"/>
    <w:semiHidden/>
    <w:unhideWhenUsed/>
    <w:rsid w:val="00EE3351"/>
    <w:rPr>
      <w:b/>
      <w:bCs/>
    </w:rPr>
  </w:style>
  <w:style w:type="character" w:customStyle="1" w:styleId="CommentSubjectChar">
    <w:name w:val="Comment Subject Char"/>
    <w:basedOn w:val="CommentTextChar"/>
    <w:link w:val="CommentSubject"/>
    <w:uiPriority w:val="99"/>
    <w:semiHidden/>
    <w:rsid w:val="00EE3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2022-08-03T11:39:00Z</dcterms:created>
  <dcterms:modified xsi:type="dcterms:W3CDTF">2022-08-08T19:08:00Z</dcterms:modified>
</cp:coreProperties>
</file>