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margin" w:tblpY="-59"/>
        <w:tblW w:w="10975" w:type="dxa"/>
        <w:tblLook w:val="04A0" w:firstRow="1" w:lastRow="0" w:firstColumn="1" w:lastColumn="0" w:noHBand="0" w:noVBand="1"/>
      </w:tblPr>
      <w:tblGrid>
        <w:gridCol w:w="5485"/>
        <w:gridCol w:w="5490"/>
      </w:tblGrid>
      <w:tr w:rsidR="000D2253" w:rsidRPr="002206A0" w14:paraId="78D8E3D8" w14:textId="77777777" w:rsidTr="0E498DC7">
        <w:trPr>
          <w:trHeight w:val="527"/>
        </w:trPr>
        <w:tc>
          <w:tcPr>
            <w:tcW w:w="10975" w:type="dxa"/>
            <w:gridSpan w:val="2"/>
            <w:shd w:val="clear" w:color="auto" w:fill="C82630"/>
            <w:vAlign w:val="center"/>
          </w:tcPr>
          <w:p w14:paraId="5386E3AA" w14:textId="7F129D6E" w:rsidR="000D2253" w:rsidRPr="002206A0" w:rsidRDefault="000D2253" w:rsidP="00C84169">
            <w:pPr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206A0">
              <w:rPr>
                <w:rFonts w:eastAsia="Calibri"/>
                <w:sz w:val="22"/>
                <w:szCs w:val="22"/>
              </w:rPr>
              <w:br w:type="page"/>
            </w:r>
            <w:r w:rsidRPr="002206A0">
              <w:rPr>
                <w:rFonts w:eastAsia="Calibri"/>
                <w:sz w:val="22"/>
                <w:szCs w:val="22"/>
              </w:rPr>
              <w:br w:type="page"/>
            </w:r>
            <w:r w:rsidRPr="002206A0">
              <w:rPr>
                <w:rFonts w:eastAsia="Calibri"/>
                <w:b/>
                <w:color w:val="FFFFFF"/>
                <w:sz w:val="28"/>
                <w:szCs w:val="22"/>
              </w:rPr>
              <w:t>Indicat</w:t>
            </w:r>
            <w:r w:rsidR="00EE0703">
              <w:rPr>
                <w:rFonts w:eastAsia="Calibri"/>
                <w:b/>
                <w:color w:val="FFFFFF"/>
                <w:sz w:val="28"/>
                <w:szCs w:val="22"/>
              </w:rPr>
              <w:t xml:space="preserve">or </w:t>
            </w:r>
            <w:r w:rsidR="00F213D8">
              <w:rPr>
                <w:rFonts w:eastAsia="Calibri"/>
                <w:b/>
                <w:color w:val="FFFFFF"/>
                <w:sz w:val="28"/>
                <w:szCs w:val="22"/>
              </w:rPr>
              <w:t>Twelve</w:t>
            </w:r>
            <w:r w:rsidR="00EE0703">
              <w:rPr>
                <w:rFonts w:eastAsia="Calibri"/>
                <w:b/>
                <w:color w:val="FFFFFF"/>
                <w:sz w:val="28"/>
                <w:szCs w:val="22"/>
              </w:rPr>
              <w:t xml:space="preserve">: </w:t>
            </w:r>
            <w:r w:rsidR="00F213D8">
              <w:rPr>
                <w:rFonts w:eastAsia="Calibri"/>
                <w:b/>
                <w:color w:val="FFFFFF"/>
                <w:sz w:val="28"/>
                <w:szCs w:val="22"/>
              </w:rPr>
              <w:t>Part C to B Transition</w:t>
            </w:r>
          </w:p>
        </w:tc>
      </w:tr>
      <w:tr w:rsidR="000D2253" w:rsidRPr="002206A0" w14:paraId="5809EC9B" w14:textId="77777777" w:rsidTr="0E498DC7">
        <w:tc>
          <w:tcPr>
            <w:tcW w:w="10975" w:type="dxa"/>
            <w:gridSpan w:val="2"/>
            <w:shd w:val="clear" w:color="auto" w:fill="FFFFFF" w:themeFill="background1"/>
          </w:tcPr>
          <w:p w14:paraId="0CE42848" w14:textId="77777777" w:rsidR="00F213D8" w:rsidRPr="00F213D8" w:rsidRDefault="00F213D8" w:rsidP="00F213D8">
            <w:pPr>
              <w:spacing w:after="0" w:line="240" w:lineRule="auto"/>
              <w:rPr>
                <w:rFonts w:eastAsia="Calibri"/>
                <w:b/>
                <w:sz w:val="22"/>
                <w:szCs w:val="22"/>
              </w:rPr>
            </w:pPr>
            <w:r w:rsidRPr="00F213D8">
              <w:rPr>
                <w:rFonts w:eastAsia="Calibri"/>
                <w:b/>
                <w:sz w:val="22"/>
                <w:szCs w:val="22"/>
              </w:rPr>
              <w:t>Percent of children referred from Part C prior to age three who are eligible for Part B and who have an IEP developed and implemented by their third birthday.</w:t>
            </w:r>
          </w:p>
          <w:p w14:paraId="51C04452" w14:textId="5C81227C" w:rsidR="0063717A" w:rsidRPr="00F213D8" w:rsidRDefault="0060532F" w:rsidP="00A27B7D">
            <w:pPr>
              <w:spacing w:after="0" w:line="240" w:lineRule="auto"/>
              <w:rPr>
                <w:rFonts w:eastAsia="Calibri"/>
                <w:bCs w:val="0"/>
                <w:i/>
                <w:iCs/>
                <w:sz w:val="22"/>
                <w:szCs w:val="22"/>
              </w:rPr>
            </w:pPr>
            <w:r>
              <w:rPr>
                <w:rFonts w:eastAsia="Calibri"/>
                <w:bCs w:val="0"/>
                <w:i/>
                <w:iCs/>
                <w:sz w:val="22"/>
                <w:szCs w:val="22"/>
              </w:rPr>
              <w:t>*</w:t>
            </w:r>
            <w:r w:rsidR="00FE6855">
              <w:rPr>
                <w:rFonts w:eastAsia="Calibri"/>
                <w:bCs w:val="0"/>
                <w:i/>
                <w:iCs/>
                <w:sz w:val="22"/>
                <w:szCs w:val="22"/>
              </w:rPr>
              <w:t>Indicator 12 is a compliance indicator with a Target of 100%.</w:t>
            </w:r>
          </w:p>
        </w:tc>
      </w:tr>
      <w:tr w:rsidR="000D2253" w:rsidRPr="002206A0" w14:paraId="5CE388AB" w14:textId="77777777" w:rsidTr="0E498DC7">
        <w:tc>
          <w:tcPr>
            <w:tcW w:w="10975" w:type="dxa"/>
            <w:gridSpan w:val="2"/>
            <w:shd w:val="clear" w:color="auto" w:fill="1B365D" w:themeFill="text2"/>
          </w:tcPr>
          <w:p w14:paraId="0FC6E8F4" w14:textId="3BFCDB5D" w:rsidR="000D2253" w:rsidRPr="002206A0" w:rsidRDefault="000D2253" w:rsidP="0060532F">
            <w:pPr>
              <w:spacing w:after="0" w:line="240" w:lineRule="auto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2206A0">
              <w:rPr>
                <w:rFonts w:eastAsia="Calibri"/>
                <w:b/>
                <w:sz w:val="22"/>
                <w:szCs w:val="22"/>
              </w:rPr>
              <w:t>Discuss the resources and services provided to</w:t>
            </w:r>
            <w:r w:rsidR="00A27B7D">
              <w:rPr>
                <w:rFonts w:eastAsia="Calibri"/>
                <w:b/>
                <w:sz w:val="22"/>
                <w:szCs w:val="22"/>
              </w:rPr>
              <w:t xml:space="preserve"> ensure acquisition of age</w:t>
            </w:r>
            <w:r w:rsidR="0027220B">
              <w:rPr>
                <w:rFonts w:eastAsia="Calibri"/>
                <w:b/>
                <w:sz w:val="22"/>
                <w:szCs w:val="22"/>
              </w:rPr>
              <w:t>-</w:t>
            </w:r>
            <w:r w:rsidR="00A27B7D">
              <w:rPr>
                <w:rFonts w:eastAsia="Calibri"/>
                <w:b/>
                <w:sz w:val="22"/>
                <w:szCs w:val="22"/>
              </w:rPr>
              <w:t>appropriate preschool skills</w:t>
            </w:r>
            <w:r w:rsidRPr="002206A0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63717A" w:rsidRPr="002206A0" w14:paraId="12695257" w14:textId="77777777" w:rsidTr="0E498DC7">
        <w:trPr>
          <w:trHeight w:val="1901"/>
        </w:trPr>
        <w:tc>
          <w:tcPr>
            <w:tcW w:w="10975" w:type="dxa"/>
            <w:gridSpan w:val="2"/>
          </w:tcPr>
          <w:p w14:paraId="3D5C20F6" w14:textId="05E78E90" w:rsidR="0063717A" w:rsidRPr="0063717A" w:rsidRDefault="000C0CCA" w:rsidP="000C0CCA">
            <w:pPr>
              <w:spacing w:after="0" w:line="240" w:lineRule="auto"/>
              <w:ind w:left="700" w:hanging="360"/>
              <w:rPr>
                <w:rFonts w:eastAsia="Calibri"/>
                <w:sz w:val="20"/>
                <w:szCs w:val="20"/>
              </w:rPr>
            </w:pPr>
            <w:r w:rsidRPr="0E498DC7">
              <w:rPr>
                <w:rFonts w:eastAsia="Calibri"/>
                <w:sz w:val="20"/>
                <w:szCs w:val="20"/>
              </w:rPr>
              <w:t xml:space="preserve">1.    </w:t>
            </w:r>
            <w:r w:rsidR="00C91A42" w:rsidRPr="0E498DC7">
              <w:rPr>
                <w:rFonts w:eastAsia="Calibri"/>
                <w:sz w:val="20"/>
                <w:szCs w:val="20"/>
              </w:rPr>
              <w:t xml:space="preserve">Describe the information </w:t>
            </w:r>
            <w:r w:rsidR="00C43880" w:rsidRPr="0E498DC7">
              <w:rPr>
                <w:rFonts w:eastAsia="Calibri"/>
                <w:sz w:val="20"/>
                <w:szCs w:val="20"/>
              </w:rPr>
              <w:t xml:space="preserve">the LEA </w:t>
            </w:r>
            <w:r w:rsidR="00C91A42" w:rsidRPr="0E498DC7">
              <w:rPr>
                <w:rFonts w:eastAsia="Calibri"/>
                <w:sz w:val="20"/>
                <w:szCs w:val="20"/>
              </w:rPr>
              <w:t>provid</w:t>
            </w:r>
            <w:r w:rsidR="008D3DBE" w:rsidRPr="0E498DC7">
              <w:rPr>
                <w:rFonts w:eastAsia="Calibri"/>
                <w:sz w:val="20"/>
                <w:szCs w:val="20"/>
              </w:rPr>
              <w:t>es</w:t>
            </w:r>
            <w:r w:rsidR="00C91A42" w:rsidRPr="0E498DC7">
              <w:rPr>
                <w:rFonts w:eastAsia="Calibri"/>
                <w:sz w:val="20"/>
                <w:szCs w:val="20"/>
              </w:rPr>
              <w:t xml:space="preserve"> to parent(s) at the Transition Planning </w:t>
            </w:r>
            <w:r w:rsidR="00D97FBC" w:rsidRPr="0E498DC7">
              <w:rPr>
                <w:rFonts w:eastAsia="Calibri"/>
                <w:sz w:val="20"/>
                <w:szCs w:val="20"/>
              </w:rPr>
              <w:t>C</w:t>
            </w:r>
            <w:r w:rsidR="00C91A42" w:rsidRPr="0E498DC7">
              <w:rPr>
                <w:rFonts w:eastAsia="Calibri"/>
                <w:sz w:val="20"/>
                <w:szCs w:val="20"/>
              </w:rPr>
              <w:t>onference (TPC) (e.g., contact information, next steps, meeting schedules</w:t>
            </w:r>
            <w:r w:rsidR="0027220B" w:rsidRPr="0E498DC7">
              <w:rPr>
                <w:rFonts w:eastAsia="Calibri"/>
                <w:sz w:val="20"/>
                <w:szCs w:val="20"/>
              </w:rPr>
              <w:t>, inclusion fact</w:t>
            </w:r>
            <w:r w:rsidR="00990527" w:rsidRPr="0E498DC7">
              <w:rPr>
                <w:rFonts w:eastAsia="Calibri"/>
                <w:sz w:val="20"/>
                <w:szCs w:val="20"/>
              </w:rPr>
              <w:t xml:space="preserve"> </w:t>
            </w:r>
            <w:r w:rsidR="0027220B" w:rsidRPr="0E498DC7">
              <w:rPr>
                <w:rFonts w:eastAsia="Calibri"/>
                <w:sz w:val="20"/>
                <w:szCs w:val="20"/>
              </w:rPr>
              <w:t>sheet/brochure</w:t>
            </w:r>
            <w:r w:rsidR="00C91A42" w:rsidRPr="0E498DC7">
              <w:rPr>
                <w:rFonts w:eastAsia="Calibri"/>
                <w:sz w:val="20"/>
                <w:szCs w:val="20"/>
              </w:rPr>
              <w:t>).</w:t>
            </w:r>
          </w:p>
        </w:tc>
      </w:tr>
      <w:tr w:rsidR="0063717A" w:rsidRPr="002206A0" w14:paraId="7F4F1C2A" w14:textId="77777777" w:rsidTr="0E498DC7">
        <w:trPr>
          <w:trHeight w:val="1901"/>
        </w:trPr>
        <w:tc>
          <w:tcPr>
            <w:tcW w:w="10975" w:type="dxa"/>
            <w:gridSpan w:val="2"/>
          </w:tcPr>
          <w:p w14:paraId="22D501F8" w14:textId="6DBF8CBE" w:rsidR="0063717A" w:rsidRPr="00C84169" w:rsidRDefault="00F213D8" w:rsidP="00D26EA2">
            <w:pPr>
              <w:spacing w:after="0" w:line="240" w:lineRule="auto"/>
              <w:ind w:left="790" w:hanging="45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2.     </w:t>
            </w:r>
            <w:r w:rsidR="00D26EA2">
              <w:rPr>
                <w:rFonts w:eastAsia="Calibri"/>
                <w:sz w:val="20"/>
                <w:szCs w:val="20"/>
              </w:rPr>
              <w:t>Describe the LEA follow</w:t>
            </w:r>
            <w:r w:rsidR="00990527">
              <w:rPr>
                <w:rFonts w:eastAsia="Calibri"/>
                <w:sz w:val="20"/>
                <w:szCs w:val="20"/>
              </w:rPr>
              <w:t>-</w:t>
            </w:r>
            <w:r w:rsidR="00D26EA2">
              <w:rPr>
                <w:rFonts w:eastAsia="Calibri"/>
                <w:sz w:val="20"/>
                <w:szCs w:val="20"/>
              </w:rPr>
              <w:t xml:space="preserve">up </w:t>
            </w:r>
            <w:r w:rsidR="00990527">
              <w:rPr>
                <w:rFonts w:eastAsia="Calibri"/>
                <w:sz w:val="20"/>
                <w:szCs w:val="20"/>
              </w:rPr>
              <w:t xml:space="preserve">procedures </w:t>
            </w:r>
            <w:r w:rsidR="00D26EA2">
              <w:rPr>
                <w:rFonts w:eastAsia="Calibri"/>
                <w:sz w:val="20"/>
                <w:szCs w:val="20"/>
              </w:rPr>
              <w:t xml:space="preserve">once a transition planning conference has taken place. </w:t>
            </w:r>
            <w:r w:rsidR="000D23FC">
              <w:rPr>
                <w:rFonts w:eastAsia="Calibri"/>
                <w:sz w:val="20"/>
                <w:szCs w:val="20"/>
              </w:rPr>
              <w:t>Explain how the procedures</w:t>
            </w:r>
            <w:r w:rsidR="009322A7">
              <w:rPr>
                <w:rFonts w:eastAsia="Calibri"/>
                <w:sz w:val="20"/>
                <w:szCs w:val="20"/>
              </w:rPr>
              <w:t>, roles, responsibilities</w:t>
            </w:r>
            <w:r w:rsidR="000C0CCA">
              <w:rPr>
                <w:rFonts w:eastAsia="Calibri"/>
                <w:sz w:val="20"/>
                <w:szCs w:val="20"/>
              </w:rPr>
              <w:t>, and timelines</w:t>
            </w:r>
            <w:r w:rsidR="005613AD">
              <w:rPr>
                <w:rFonts w:eastAsia="Calibri"/>
                <w:sz w:val="20"/>
                <w:szCs w:val="20"/>
              </w:rPr>
              <w:t xml:space="preserve"> (evaluation, eligibility, IEP)</w:t>
            </w:r>
            <w:r w:rsidR="009322A7">
              <w:rPr>
                <w:rFonts w:eastAsia="Calibri"/>
                <w:sz w:val="20"/>
                <w:szCs w:val="20"/>
              </w:rPr>
              <w:t xml:space="preserve"> </w:t>
            </w:r>
            <w:r w:rsidR="000D23FC">
              <w:rPr>
                <w:rFonts w:eastAsia="Calibri"/>
                <w:sz w:val="20"/>
                <w:szCs w:val="20"/>
              </w:rPr>
              <w:t>have been communicated to all staff involved</w:t>
            </w:r>
            <w:r w:rsidR="009322A7">
              <w:rPr>
                <w:rFonts w:eastAsia="Calibri"/>
                <w:sz w:val="20"/>
                <w:szCs w:val="20"/>
              </w:rPr>
              <w:t>.</w:t>
            </w:r>
          </w:p>
          <w:p w14:paraId="09B4FCB3" w14:textId="48021E42" w:rsidR="0063717A" w:rsidRPr="002206A0" w:rsidRDefault="0063717A" w:rsidP="00C84169">
            <w:pPr>
              <w:spacing w:after="0" w:line="240" w:lineRule="auto"/>
              <w:ind w:left="455"/>
              <w:rPr>
                <w:rFonts w:eastAsia="Calibri"/>
                <w:sz w:val="18"/>
                <w:szCs w:val="18"/>
              </w:rPr>
            </w:pPr>
          </w:p>
        </w:tc>
      </w:tr>
      <w:tr w:rsidR="00C4409F" w:rsidRPr="002206A0" w14:paraId="796ED91E" w14:textId="77777777" w:rsidTr="0E498DC7">
        <w:trPr>
          <w:trHeight w:val="1901"/>
        </w:trPr>
        <w:tc>
          <w:tcPr>
            <w:tcW w:w="10975" w:type="dxa"/>
            <w:gridSpan w:val="2"/>
          </w:tcPr>
          <w:p w14:paraId="51B1E6D3" w14:textId="511453AD" w:rsidR="00FA58D1" w:rsidRPr="00B002B5" w:rsidRDefault="00F27BFC" w:rsidP="008F65AB">
            <w:pPr>
              <w:spacing w:after="0" w:line="240" w:lineRule="auto"/>
              <w:ind w:left="700" w:hanging="340"/>
              <w:rPr>
                <w:rFonts w:eastAsia="Calibri"/>
                <w:sz w:val="20"/>
                <w:szCs w:val="20"/>
              </w:rPr>
            </w:pPr>
            <w:r w:rsidRPr="00B002B5">
              <w:rPr>
                <w:rFonts w:eastAsia="Calibri"/>
                <w:sz w:val="20"/>
                <w:szCs w:val="20"/>
              </w:rPr>
              <w:t>3</w:t>
            </w:r>
            <w:r w:rsidR="00D63B18" w:rsidRPr="00B002B5">
              <w:rPr>
                <w:rFonts w:eastAsia="Calibri"/>
                <w:sz w:val="20"/>
                <w:szCs w:val="20"/>
              </w:rPr>
              <w:t>.</w:t>
            </w:r>
            <w:r w:rsidR="00C4409F" w:rsidRPr="00615DD9">
              <w:rPr>
                <w:rFonts w:eastAsia="Calibri"/>
                <w:sz w:val="18"/>
                <w:szCs w:val="18"/>
              </w:rPr>
              <w:t xml:space="preserve">  </w:t>
            </w:r>
            <w:r w:rsidR="00D63B18" w:rsidRPr="00615DD9">
              <w:rPr>
                <w:rFonts w:eastAsia="Calibri"/>
                <w:sz w:val="18"/>
                <w:szCs w:val="18"/>
              </w:rPr>
              <w:t xml:space="preserve"> </w:t>
            </w:r>
            <w:r w:rsidR="00FA58D1" w:rsidRPr="00615DD9">
              <w:rPr>
                <w:rFonts w:eastAsia="Calibri"/>
                <w:sz w:val="18"/>
                <w:szCs w:val="18"/>
              </w:rPr>
              <w:t xml:space="preserve"> </w:t>
            </w:r>
            <w:r w:rsidR="00615DD9" w:rsidRPr="00B002B5">
              <w:rPr>
                <w:rFonts w:eastAsia="Calibri"/>
                <w:sz w:val="20"/>
                <w:szCs w:val="20"/>
              </w:rPr>
              <w:t>Describe</w:t>
            </w:r>
            <w:r w:rsidR="00FD77E6" w:rsidRPr="00B002B5">
              <w:rPr>
                <w:rFonts w:eastAsia="Calibri"/>
                <w:sz w:val="20"/>
                <w:szCs w:val="20"/>
              </w:rPr>
              <w:t xml:space="preserve"> the steps in place for children transitioning from TEIS who are eligible for Part B to ensure that the IEP is in place by the third birthday. </w:t>
            </w:r>
            <w:r w:rsidR="008F544F" w:rsidRPr="00B002B5">
              <w:rPr>
                <w:rFonts w:eastAsia="Calibri"/>
                <w:sz w:val="20"/>
                <w:szCs w:val="20"/>
              </w:rPr>
              <w:t>Explain how those procedures, roles</w:t>
            </w:r>
            <w:r w:rsidR="008F65AB" w:rsidRPr="00B002B5">
              <w:rPr>
                <w:rFonts w:eastAsia="Calibri"/>
                <w:sz w:val="20"/>
                <w:szCs w:val="20"/>
              </w:rPr>
              <w:t xml:space="preserve">, and </w:t>
            </w:r>
            <w:r w:rsidR="008F544F" w:rsidRPr="00B002B5">
              <w:rPr>
                <w:rFonts w:eastAsia="Calibri"/>
                <w:sz w:val="20"/>
                <w:szCs w:val="20"/>
              </w:rPr>
              <w:t>responsibilities are communicated to all staff involved.</w:t>
            </w:r>
            <w:r w:rsidR="000B28AF" w:rsidRPr="00B002B5">
              <w:rPr>
                <w:rFonts w:eastAsia="Calibri"/>
                <w:sz w:val="20"/>
                <w:szCs w:val="20"/>
              </w:rPr>
              <w:t xml:space="preserve"> If applicable, explain the reasons why an IEP might be scheduled with minimal time before the third birthday.</w:t>
            </w:r>
          </w:p>
          <w:p w14:paraId="35E3A648" w14:textId="2D3E7F99" w:rsidR="008F544F" w:rsidRPr="00FA58D1" w:rsidRDefault="008F544F" w:rsidP="008F544F">
            <w:pPr>
              <w:spacing w:after="0" w:line="240" w:lineRule="auto"/>
              <w:ind w:left="700" w:hanging="340"/>
              <w:rPr>
                <w:rFonts w:eastAsia="Calibri"/>
                <w:sz w:val="20"/>
                <w:szCs w:val="20"/>
              </w:rPr>
            </w:pPr>
          </w:p>
        </w:tc>
      </w:tr>
      <w:tr w:rsidR="00C4409F" w:rsidRPr="002206A0" w14:paraId="1F151D8C" w14:textId="77777777" w:rsidTr="0E498DC7">
        <w:trPr>
          <w:trHeight w:val="1901"/>
        </w:trPr>
        <w:tc>
          <w:tcPr>
            <w:tcW w:w="10975" w:type="dxa"/>
            <w:gridSpan w:val="2"/>
          </w:tcPr>
          <w:p w14:paraId="6733992A" w14:textId="414BCA64" w:rsidR="00E571D4" w:rsidRPr="002E40EC" w:rsidRDefault="00774A0F" w:rsidP="00F31C19">
            <w:pPr>
              <w:spacing w:after="0" w:line="240" w:lineRule="auto"/>
              <w:ind w:left="36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  <w:r w:rsidR="00D63B18">
              <w:rPr>
                <w:rFonts w:eastAsia="Calibri"/>
                <w:sz w:val="20"/>
                <w:szCs w:val="20"/>
              </w:rPr>
              <w:t xml:space="preserve">.   </w:t>
            </w:r>
            <w:r w:rsidR="00E571D4" w:rsidRPr="00E571D4">
              <w:rPr>
                <w:rFonts w:eastAsia="Calibri"/>
                <w:sz w:val="20"/>
                <w:szCs w:val="20"/>
              </w:rPr>
              <w:t xml:space="preserve"> </w:t>
            </w:r>
            <w:r w:rsidR="00A012DC">
              <w:rPr>
                <w:rFonts w:eastAsia="Calibri"/>
                <w:sz w:val="20"/>
                <w:szCs w:val="20"/>
              </w:rPr>
              <w:t>Describe how summer/school breaks are addressed to ensure that the indicator timeframes are met.</w:t>
            </w:r>
          </w:p>
          <w:p w14:paraId="529AFE28" w14:textId="32916003" w:rsidR="006F22A7" w:rsidRPr="002E40EC" w:rsidRDefault="006F22A7" w:rsidP="002E40EC">
            <w:pPr>
              <w:spacing w:after="0" w:line="240" w:lineRule="auto"/>
              <w:ind w:left="610"/>
              <w:rPr>
                <w:rFonts w:eastAsia="Calibri"/>
                <w:sz w:val="20"/>
                <w:szCs w:val="20"/>
              </w:rPr>
            </w:pPr>
          </w:p>
        </w:tc>
      </w:tr>
      <w:tr w:rsidR="00C4409F" w:rsidRPr="002206A0" w14:paraId="4D63F6FC" w14:textId="77777777" w:rsidTr="0E498DC7">
        <w:trPr>
          <w:trHeight w:val="1901"/>
        </w:trPr>
        <w:tc>
          <w:tcPr>
            <w:tcW w:w="10975" w:type="dxa"/>
            <w:gridSpan w:val="2"/>
          </w:tcPr>
          <w:p w14:paraId="1A411233" w14:textId="6942743A" w:rsidR="00A012DC" w:rsidRPr="00A012DC" w:rsidRDefault="00B002B5" w:rsidP="002A0657">
            <w:pPr>
              <w:spacing w:after="0" w:line="240" w:lineRule="auto"/>
              <w:ind w:left="700" w:hanging="340"/>
              <w:rPr>
                <w:rFonts w:eastAsia="Calibri"/>
                <w:sz w:val="20"/>
                <w:szCs w:val="20"/>
              </w:rPr>
            </w:pPr>
            <w:r w:rsidRPr="0E498DC7">
              <w:rPr>
                <w:rFonts w:eastAsia="Calibri"/>
                <w:sz w:val="20"/>
                <w:szCs w:val="20"/>
              </w:rPr>
              <w:t>5</w:t>
            </w:r>
            <w:r w:rsidR="00D63B18" w:rsidRPr="0E498DC7">
              <w:rPr>
                <w:rFonts w:eastAsia="Calibri"/>
                <w:sz w:val="20"/>
                <w:szCs w:val="20"/>
              </w:rPr>
              <w:t xml:space="preserve">.  </w:t>
            </w:r>
            <w:r w:rsidR="00E571D4" w:rsidRPr="0E498DC7">
              <w:rPr>
                <w:rFonts w:eastAsia="Calibri"/>
                <w:sz w:val="20"/>
                <w:szCs w:val="20"/>
              </w:rPr>
              <w:t xml:space="preserve"> </w:t>
            </w:r>
            <w:r w:rsidR="00A012DC" w:rsidRPr="0E498DC7">
              <w:rPr>
                <w:rFonts w:eastAsia="Calibri"/>
                <w:sz w:val="20"/>
                <w:szCs w:val="20"/>
              </w:rPr>
              <w:t xml:space="preserve">Describe the process in place that builds in </w:t>
            </w:r>
            <w:r w:rsidR="00AF7C9D" w:rsidRPr="0E498DC7">
              <w:rPr>
                <w:rFonts w:eastAsia="Calibri"/>
                <w:sz w:val="20"/>
                <w:szCs w:val="20"/>
              </w:rPr>
              <w:t xml:space="preserve">a </w:t>
            </w:r>
            <w:r w:rsidR="00A012DC" w:rsidRPr="0E498DC7">
              <w:rPr>
                <w:rFonts w:eastAsia="Calibri"/>
                <w:sz w:val="20"/>
                <w:szCs w:val="20"/>
              </w:rPr>
              <w:t xml:space="preserve">margin and plans for </w:t>
            </w:r>
            <w:r w:rsidR="381EC29D" w:rsidRPr="0E498DC7">
              <w:rPr>
                <w:rFonts w:eastAsia="Calibri"/>
                <w:sz w:val="20"/>
                <w:szCs w:val="20"/>
              </w:rPr>
              <w:t>potential delays</w:t>
            </w:r>
            <w:r w:rsidR="00A012DC" w:rsidRPr="0E498DC7">
              <w:rPr>
                <w:rFonts w:eastAsia="Calibri"/>
                <w:sz w:val="20"/>
                <w:szCs w:val="20"/>
              </w:rPr>
              <w:t xml:space="preserve"> due to various circumstances (weather, parents, illness, etc.), </w:t>
            </w:r>
            <w:r w:rsidR="00E9505D" w:rsidRPr="0E498DC7">
              <w:rPr>
                <w:rFonts w:eastAsia="Calibri"/>
                <w:sz w:val="20"/>
                <w:szCs w:val="20"/>
              </w:rPr>
              <w:t>to</w:t>
            </w:r>
            <w:r w:rsidR="00A012DC" w:rsidRPr="0E498DC7">
              <w:rPr>
                <w:rFonts w:eastAsia="Calibri"/>
                <w:sz w:val="20"/>
                <w:szCs w:val="20"/>
              </w:rPr>
              <w:t xml:space="preserve"> meet the third birthday requirement.</w:t>
            </w:r>
          </w:p>
        </w:tc>
      </w:tr>
      <w:tr w:rsidR="00CD16B8" w:rsidRPr="002206A0" w14:paraId="6A5419BB" w14:textId="77777777" w:rsidTr="0E498DC7">
        <w:trPr>
          <w:trHeight w:val="1901"/>
        </w:trPr>
        <w:tc>
          <w:tcPr>
            <w:tcW w:w="10975" w:type="dxa"/>
            <w:gridSpan w:val="2"/>
          </w:tcPr>
          <w:p w14:paraId="1759C7D6" w14:textId="47673440" w:rsidR="00A012DC" w:rsidRPr="002E40EC" w:rsidRDefault="00B002B5" w:rsidP="00753051">
            <w:pPr>
              <w:spacing w:after="0" w:line="240" w:lineRule="auto"/>
              <w:ind w:left="700" w:hanging="340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  <w:r w:rsidR="00D63B18">
              <w:rPr>
                <w:rFonts w:eastAsia="Calibri"/>
                <w:sz w:val="20"/>
                <w:szCs w:val="20"/>
              </w:rPr>
              <w:t xml:space="preserve">.  </w:t>
            </w:r>
            <w:r w:rsidR="009A4812" w:rsidRPr="006D63B6">
              <w:rPr>
                <w:rFonts w:eastAsia="Calibri"/>
                <w:sz w:val="20"/>
                <w:szCs w:val="20"/>
              </w:rPr>
              <w:t xml:space="preserve"> </w:t>
            </w:r>
            <w:r w:rsidR="00A012DC">
              <w:rPr>
                <w:rFonts w:eastAsia="Calibri"/>
                <w:sz w:val="20"/>
                <w:szCs w:val="20"/>
              </w:rPr>
              <w:t xml:space="preserve">Describe the </w:t>
            </w:r>
            <w:r w:rsidR="00851628">
              <w:rPr>
                <w:rFonts w:eastAsia="Calibri"/>
                <w:sz w:val="20"/>
                <w:szCs w:val="20"/>
              </w:rPr>
              <w:t>system in place</w:t>
            </w:r>
            <w:r w:rsidR="00A012DC">
              <w:rPr>
                <w:rFonts w:eastAsia="Calibri"/>
                <w:sz w:val="20"/>
                <w:szCs w:val="20"/>
              </w:rPr>
              <w:t xml:space="preserve"> </w:t>
            </w:r>
            <w:r w:rsidR="000D23FC">
              <w:rPr>
                <w:rFonts w:eastAsia="Calibri"/>
                <w:sz w:val="20"/>
                <w:szCs w:val="20"/>
              </w:rPr>
              <w:t xml:space="preserve">to ensure </w:t>
            </w:r>
            <w:r w:rsidR="00A012DC">
              <w:rPr>
                <w:rFonts w:eastAsia="Calibri"/>
                <w:sz w:val="20"/>
                <w:szCs w:val="20"/>
              </w:rPr>
              <w:t xml:space="preserve">that procedural safeguards have been sent </w:t>
            </w:r>
            <w:r w:rsidR="006C6006">
              <w:rPr>
                <w:rFonts w:eastAsia="Calibri"/>
                <w:sz w:val="20"/>
                <w:szCs w:val="20"/>
              </w:rPr>
              <w:t>to parent</w:t>
            </w:r>
            <w:r w:rsidR="007F7980">
              <w:rPr>
                <w:rFonts w:eastAsia="Calibri"/>
                <w:sz w:val="20"/>
                <w:szCs w:val="20"/>
              </w:rPr>
              <w:t xml:space="preserve">(s) </w:t>
            </w:r>
            <w:r w:rsidR="00851628">
              <w:rPr>
                <w:rFonts w:eastAsia="Calibri"/>
                <w:sz w:val="20"/>
                <w:szCs w:val="20"/>
              </w:rPr>
              <w:t xml:space="preserve">and documented </w:t>
            </w:r>
            <w:r w:rsidR="00A012DC">
              <w:rPr>
                <w:rFonts w:eastAsia="Calibri"/>
                <w:sz w:val="20"/>
                <w:szCs w:val="20"/>
              </w:rPr>
              <w:t>for referrals in the notification file.</w:t>
            </w:r>
          </w:p>
        </w:tc>
      </w:tr>
      <w:tr w:rsidR="00CD16B8" w:rsidRPr="002206A0" w14:paraId="356766F5" w14:textId="77777777" w:rsidTr="0E498DC7">
        <w:trPr>
          <w:trHeight w:val="1901"/>
        </w:trPr>
        <w:tc>
          <w:tcPr>
            <w:tcW w:w="10975" w:type="dxa"/>
            <w:gridSpan w:val="2"/>
          </w:tcPr>
          <w:p w14:paraId="1A8D2F97" w14:textId="4BC56800" w:rsidR="00CD16B8" w:rsidRPr="008501F8" w:rsidRDefault="00B002B5" w:rsidP="008501F8">
            <w:pPr>
              <w:spacing w:after="0" w:line="240" w:lineRule="auto"/>
              <w:ind w:left="700" w:hanging="34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7</w:t>
            </w:r>
            <w:r w:rsidR="00D63B18">
              <w:rPr>
                <w:rFonts w:eastAsia="Calibri"/>
                <w:sz w:val="20"/>
                <w:szCs w:val="20"/>
              </w:rPr>
              <w:t xml:space="preserve">. </w:t>
            </w:r>
            <w:r w:rsidR="002E40EC">
              <w:rPr>
                <w:rFonts w:eastAsia="Calibri"/>
                <w:sz w:val="20"/>
                <w:szCs w:val="20"/>
              </w:rPr>
              <w:t xml:space="preserve">  </w:t>
            </w:r>
            <w:r w:rsidR="00B41E1C">
              <w:rPr>
                <w:rFonts w:eastAsia="Calibri"/>
                <w:sz w:val="20"/>
                <w:szCs w:val="20"/>
              </w:rPr>
              <w:t xml:space="preserve"> </w:t>
            </w:r>
            <w:r w:rsidR="00AF7C9D" w:rsidRPr="008501F8">
              <w:rPr>
                <w:rFonts w:eastAsia="Calibri"/>
                <w:sz w:val="20"/>
                <w:szCs w:val="20"/>
              </w:rPr>
              <w:t xml:space="preserve">Describe the </w:t>
            </w:r>
            <w:r w:rsidR="004D26E2" w:rsidRPr="008501F8">
              <w:rPr>
                <w:rFonts w:eastAsia="Calibri"/>
                <w:sz w:val="20"/>
                <w:szCs w:val="20"/>
              </w:rPr>
              <w:t xml:space="preserve">Indicator 12 </w:t>
            </w:r>
            <w:r w:rsidR="00AF7C9D" w:rsidRPr="008501F8">
              <w:rPr>
                <w:rFonts w:eastAsia="Calibri"/>
                <w:sz w:val="20"/>
                <w:szCs w:val="20"/>
              </w:rPr>
              <w:t xml:space="preserve">training </w:t>
            </w:r>
            <w:r w:rsidR="004D26E2" w:rsidRPr="008501F8">
              <w:rPr>
                <w:rFonts w:eastAsia="Calibri"/>
                <w:sz w:val="20"/>
                <w:szCs w:val="20"/>
              </w:rPr>
              <w:t xml:space="preserve">provided for all staff involved and </w:t>
            </w:r>
            <w:r w:rsidR="007F7980">
              <w:rPr>
                <w:rFonts w:eastAsia="Calibri"/>
                <w:sz w:val="20"/>
                <w:szCs w:val="20"/>
              </w:rPr>
              <w:t xml:space="preserve">describe </w:t>
            </w:r>
            <w:r w:rsidR="00032D02">
              <w:rPr>
                <w:rFonts w:eastAsia="Calibri"/>
                <w:sz w:val="20"/>
                <w:szCs w:val="20"/>
              </w:rPr>
              <w:t>how the training is evaluated.</w:t>
            </w:r>
          </w:p>
        </w:tc>
      </w:tr>
      <w:tr w:rsidR="00CD16B8" w:rsidRPr="002206A0" w14:paraId="31E349F8" w14:textId="77777777" w:rsidTr="0E498DC7">
        <w:trPr>
          <w:trHeight w:val="2104"/>
        </w:trPr>
        <w:tc>
          <w:tcPr>
            <w:tcW w:w="10975" w:type="dxa"/>
            <w:gridSpan w:val="2"/>
          </w:tcPr>
          <w:p w14:paraId="6E46EC47" w14:textId="7DB3EABF" w:rsidR="00AF7C9D" w:rsidRPr="00AF7C9D" w:rsidRDefault="00152D4D" w:rsidP="00152D4D">
            <w:pPr>
              <w:spacing w:after="0" w:line="240" w:lineRule="auto"/>
              <w:ind w:left="700" w:hanging="36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  <w:r w:rsidR="00D63B18">
              <w:rPr>
                <w:rFonts w:eastAsia="Calibri"/>
                <w:sz w:val="20"/>
                <w:szCs w:val="20"/>
              </w:rPr>
              <w:t xml:space="preserve">. </w:t>
            </w:r>
            <w:r w:rsidR="00CD16B8">
              <w:rPr>
                <w:rFonts w:eastAsia="Calibri"/>
                <w:sz w:val="20"/>
                <w:szCs w:val="20"/>
              </w:rPr>
              <w:t xml:space="preserve"> </w:t>
            </w:r>
            <w:r w:rsidR="00C06BF6" w:rsidRPr="00C06BF6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AF7C9D" w:rsidRPr="00AF7C9D">
              <w:rPr>
                <w:rFonts w:eastAsia="Calibri"/>
                <w:sz w:val="20"/>
                <w:szCs w:val="20"/>
              </w:rPr>
              <w:t xml:space="preserve">Describe </w:t>
            </w:r>
            <w:r w:rsidR="00F85CC2">
              <w:rPr>
                <w:rFonts w:eastAsia="Calibri"/>
                <w:sz w:val="20"/>
                <w:szCs w:val="20"/>
              </w:rPr>
              <w:t xml:space="preserve">the steps </w:t>
            </w:r>
            <w:r w:rsidR="00FA58D1">
              <w:rPr>
                <w:rFonts w:eastAsia="Calibri"/>
                <w:sz w:val="20"/>
                <w:szCs w:val="20"/>
              </w:rPr>
              <w:t xml:space="preserve">the </w:t>
            </w:r>
            <w:r w:rsidR="007F7980">
              <w:rPr>
                <w:rFonts w:eastAsia="Calibri"/>
                <w:sz w:val="20"/>
                <w:szCs w:val="20"/>
              </w:rPr>
              <w:t>LEA</w:t>
            </w:r>
            <w:r w:rsidR="00FA58D1">
              <w:rPr>
                <w:rFonts w:eastAsia="Calibri"/>
                <w:sz w:val="20"/>
                <w:szCs w:val="20"/>
              </w:rPr>
              <w:t xml:space="preserve"> takes</w:t>
            </w:r>
            <w:r w:rsidR="00F85CC2">
              <w:rPr>
                <w:rFonts w:eastAsia="Calibri"/>
                <w:sz w:val="20"/>
                <w:szCs w:val="20"/>
              </w:rPr>
              <w:t xml:space="preserve"> if </w:t>
            </w:r>
            <w:r w:rsidR="006D12A5">
              <w:rPr>
                <w:rFonts w:eastAsia="Calibri"/>
                <w:sz w:val="20"/>
                <w:szCs w:val="20"/>
              </w:rPr>
              <w:t xml:space="preserve">a </w:t>
            </w:r>
            <w:r w:rsidR="00F85CC2">
              <w:rPr>
                <w:rFonts w:eastAsia="Calibri"/>
                <w:sz w:val="20"/>
                <w:szCs w:val="20"/>
              </w:rPr>
              <w:t>child transitioning from TEIS do</w:t>
            </w:r>
            <w:r w:rsidR="006D12A5">
              <w:rPr>
                <w:rFonts w:eastAsia="Calibri"/>
                <w:sz w:val="20"/>
                <w:szCs w:val="20"/>
              </w:rPr>
              <w:t>es</w:t>
            </w:r>
            <w:r w:rsidR="00F85CC2">
              <w:rPr>
                <w:rFonts w:eastAsia="Calibri"/>
                <w:sz w:val="20"/>
                <w:szCs w:val="20"/>
              </w:rPr>
              <w:t xml:space="preserve"> not have an IEP </w:t>
            </w:r>
            <w:r w:rsidR="007F7980">
              <w:rPr>
                <w:rFonts w:eastAsia="Calibri"/>
                <w:sz w:val="20"/>
                <w:szCs w:val="20"/>
              </w:rPr>
              <w:t xml:space="preserve">in place </w:t>
            </w:r>
            <w:r w:rsidR="00F85CC2">
              <w:rPr>
                <w:rFonts w:eastAsia="Calibri"/>
                <w:sz w:val="20"/>
                <w:szCs w:val="20"/>
              </w:rPr>
              <w:t xml:space="preserve">by </w:t>
            </w:r>
            <w:r w:rsidR="001B222C">
              <w:rPr>
                <w:rFonts w:eastAsia="Calibri"/>
                <w:sz w:val="20"/>
                <w:szCs w:val="20"/>
              </w:rPr>
              <w:t xml:space="preserve">the </w:t>
            </w:r>
            <w:r w:rsidR="00F85CC2">
              <w:rPr>
                <w:rFonts w:eastAsia="Calibri"/>
                <w:sz w:val="20"/>
                <w:szCs w:val="20"/>
              </w:rPr>
              <w:t>third birthday. Explain</w:t>
            </w:r>
            <w:r w:rsidR="00FA58D1">
              <w:rPr>
                <w:rFonts w:eastAsia="Calibri"/>
                <w:sz w:val="20"/>
                <w:szCs w:val="20"/>
              </w:rPr>
              <w:t xml:space="preserve"> the efforts made by staff to get the IEP into place and how those </w:t>
            </w:r>
            <w:r w:rsidR="00CF213E">
              <w:rPr>
                <w:rFonts w:eastAsia="Calibri"/>
                <w:sz w:val="20"/>
                <w:szCs w:val="20"/>
              </w:rPr>
              <w:t xml:space="preserve">efforts </w:t>
            </w:r>
            <w:r w:rsidR="00FA58D1">
              <w:rPr>
                <w:rFonts w:eastAsia="Calibri"/>
                <w:sz w:val="20"/>
                <w:szCs w:val="20"/>
              </w:rPr>
              <w:t>are tracked.</w:t>
            </w:r>
          </w:p>
        </w:tc>
      </w:tr>
      <w:tr w:rsidR="00CD16B8" w:rsidRPr="002206A0" w14:paraId="17FA9C0E" w14:textId="77777777" w:rsidTr="0E498DC7">
        <w:trPr>
          <w:trHeight w:val="1901"/>
        </w:trPr>
        <w:tc>
          <w:tcPr>
            <w:tcW w:w="10975" w:type="dxa"/>
            <w:gridSpan w:val="2"/>
          </w:tcPr>
          <w:p w14:paraId="35FA5513" w14:textId="662BD0D9" w:rsidR="00743D19" w:rsidRPr="00AF7C9D" w:rsidRDefault="00152D4D" w:rsidP="00743D19">
            <w:pPr>
              <w:spacing w:after="0" w:line="240" w:lineRule="auto"/>
              <w:ind w:left="790" w:hanging="448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D63B18">
              <w:rPr>
                <w:rFonts w:eastAsia="Calibri"/>
                <w:sz w:val="20"/>
                <w:szCs w:val="20"/>
              </w:rPr>
              <w:t xml:space="preserve">. </w:t>
            </w:r>
            <w:r w:rsidR="00C2073B">
              <w:rPr>
                <w:rFonts w:eastAsia="Calibri"/>
                <w:sz w:val="20"/>
                <w:szCs w:val="20"/>
              </w:rPr>
              <w:t xml:space="preserve"> </w:t>
            </w:r>
            <w:r w:rsidR="00EB4D5C" w:rsidRPr="00EB4D5C">
              <w:rPr>
                <w:rFonts w:eastAsia="Calibri"/>
                <w:sz w:val="20"/>
                <w:szCs w:val="20"/>
              </w:rPr>
              <w:t xml:space="preserve"> </w:t>
            </w:r>
            <w:r w:rsidR="00B41E1C">
              <w:rPr>
                <w:rFonts w:eastAsia="Calibri"/>
                <w:sz w:val="20"/>
                <w:szCs w:val="20"/>
              </w:rPr>
              <w:t xml:space="preserve"> </w:t>
            </w:r>
            <w:r w:rsidR="00AF7C9D" w:rsidRPr="00AF7C9D">
              <w:rPr>
                <w:rFonts w:eastAsia="Calibri"/>
                <w:sz w:val="20"/>
                <w:szCs w:val="20"/>
              </w:rPr>
              <w:t xml:space="preserve">Describe </w:t>
            </w:r>
            <w:r w:rsidR="00AF7C9D">
              <w:rPr>
                <w:rFonts w:eastAsia="Calibri"/>
                <w:sz w:val="20"/>
                <w:szCs w:val="20"/>
              </w:rPr>
              <w:t xml:space="preserve">the process the </w:t>
            </w:r>
            <w:r w:rsidR="001B222C">
              <w:rPr>
                <w:rFonts w:eastAsia="Calibri"/>
                <w:sz w:val="20"/>
                <w:szCs w:val="20"/>
              </w:rPr>
              <w:t>LEA</w:t>
            </w:r>
            <w:r w:rsidR="00AF7C9D">
              <w:rPr>
                <w:rFonts w:eastAsia="Calibri"/>
                <w:sz w:val="20"/>
                <w:szCs w:val="20"/>
              </w:rPr>
              <w:t xml:space="preserve"> uses to </w:t>
            </w:r>
            <w:r w:rsidR="00743D19">
              <w:rPr>
                <w:rFonts w:eastAsia="Calibri"/>
                <w:sz w:val="20"/>
                <w:szCs w:val="20"/>
              </w:rPr>
              <w:t xml:space="preserve">prioritize and address late referrals in a timely way. </w:t>
            </w:r>
            <w:r w:rsidR="00AF7C9D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14338824" w14:textId="5182BE43" w:rsidR="00AF7C9D" w:rsidRPr="00AF7C9D" w:rsidRDefault="00AF7C9D" w:rsidP="00AF7C9D">
            <w:pPr>
              <w:spacing w:after="0" w:line="240" w:lineRule="auto"/>
              <w:ind w:left="790"/>
              <w:rPr>
                <w:rFonts w:eastAsia="Calibri"/>
                <w:sz w:val="20"/>
                <w:szCs w:val="20"/>
              </w:rPr>
            </w:pPr>
          </w:p>
        </w:tc>
      </w:tr>
      <w:tr w:rsidR="000D2253" w:rsidRPr="002206A0" w14:paraId="104DAD22" w14:textId="77777777" w:rsidTr="0E498DC7">
        <w:trPr>
          <w:trHeight w:val="170"/>
        </w:trPr>
        <w:tc>
          <w:tcPr>
            <w:tcW w:w="10975" w:type="dxa"/>
            <w:gridSpan w:val="2"/>
            <w:shd w:val="clear" w:color="auto" w:fill="666666" w:themeFill="accent5"/>
          </w:tcPr>
          <w:p w14:paraId="18F87FDB" w14:textId="77777777" w:rsidR="000D2253" w:rsidRPr="002206A0" w:rsidRDefault="000D2253" w:rsidP="00C84169">
            <w:pPr>
              <w:spacing w:after="0" w:line="240" w:lineRule="auto"/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2206A0">
              <w:rPr>
                <w:rFonts w:eastAsia="Calibri"/>
                <w:b/>
                <w:color w:val="FFFFFF"/>
                <w:sz w:val="22"/>
                <w:szCs w:val="22"/>
              </w:rPr>
              <w:t>Evidence</w:t>
            </w:r>
          </w:p>
        </w:tc>
      </w:tr>
      <w:tr w:rsidR="000D2253" w:rsidRPr="002206A0" w14:paraId="2F771457" w14:textId="77777777" w:rsidTr="0E498DC7">
        <w:trPr>
          <w:trHeight w:val="1160"/>
        </w:trPr>
        <w:tc>
          <w:tcPr>
            <w:tcW w:w="5485" w:type="dxa"/>
          </w:tcPr>
          <w:p w14:paraId="0EF7AA27" w14:textId="6D135A29" w:rsidR="000D2253" w:rsidRPr="00463797" w:rsidRDefault="00524A08" w:rsidP="00C841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-6064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253" w:rsidRPr="004637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D2253" w:rsidRPr="00463797">
              <w:rPr>
                <w:rFonts w:eastAsia="Calibri"/>
                <w:sz w:val="20"/>
                <w:szCs w:val="20"/>
              </w:rPr>
              <w:t xml:space="preserve">Review of selected </w:t>
            </w:r>
            <w:r w:rsidR="006120F9">
              <w:rPr>
                <w:rFonts w:eastAsia="Calibri"/>
                <w:sz w:val="20"/>
                <w:szCs w:val="20"/>
              </w:rPr>
              <w:t>special education files</w:t>
            </w:r>
          </w:p>
          <w:p w14:paraId="4E474181" w14:textId="77777777" w:rsidR="000D2253" w:rsidRPr="00463797" w:rsidRDefault="00524A08" w:rsidP="00C841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164800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253" w:rsidRPr="004637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D2253" w:rsidRPr="00463797">
              <w:rPr>
                <w:rFonts w:eastAsia="Calibri"/>
                <w:sz w:val="20"/>
                <w:szCs w:val="20"/>
              </w:rPr>
              <w:t>Staff interviews</w:t>
            </w:r>
          </w:p>
          <w:p w14:paraId="1EA8D991" w14:textId="09806D25" w:rsidR="000D2253" w:rsidRPr="00463797" w:rsidRDefault="00524A08" w:rsidP="00C841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89971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253" w:rsidRPr="004637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120F9">
              <w:rPr>
                <w:rFonts w:eastAsia="Calibri"/>
                <w:sz w:val="20"/>
                <w:szCs w:val="20"/>
              </w:rPr>
              <w:t>District referral procedures</w:t>
            </w:r>
          </w:p>
          <w:p w14:paraId="4EAF5223" w14:textId="2AB996D7" w:rsidR="000D2253" w:rsidRPr="00463797" w:rsidRDefault="00524A08" w:rsidP="00C841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-74194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253" w:rsidRPr="00463797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D2253" w:rsidRPr="00463797">
              <w:rPr>
                <w:rFonts w:eastAsia="Calibri"/>
                <w:sz w:val="20"/>
                <w:szCs w:val="20"/>
              </w:rPr>
              <w:t xml:space="preserve">Review of </w:t>
            </w:r>
            <w:r w:rsidR="006120F9">
              <w:rPr>
                <w:rFonts w:eastAsia="Calibri"/>
                <w:sz w:val="20"/>
                <w:szCs w:val="20"/>
              </w:rPr>
              <w:t>psycho-educational evaluations</w:t>
            </w:r>
          </w:p>
        </w:tc>
        <w:tc>
          <w:tcPr>
            <w:tcW w:w="5490" w:type="dxa"/>
          </w:tcPr>
          <w:p w14:paraId="5CCB5D79" w14:textId="26A23770" w:rsidR="000D2253" w:rsidRDefault="000D2253" w:rsidP="00C841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14:paraId="0CD3ABEB" w14:textId="4E3B8788" w:rsidR="0018250D" w:rsidRPr="00463797" w:rsidRDefault="0018250D" w:rsidP="00C841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D2253" w:rsidRPr="002206A0" w14:paraId="60F965F2" w14:textId="77777777" w:rsidTr="0E498DC7">
        <w:tc>
          <w:tcPr>
            <w:tcW w:w="10975" w:type="dxa"/>
            <w:gridSpan w:val="2"/>
            <w:shd w:val="clear" w:color="auto" w:fill="666666" w:themeFill="accent5"/>
          </w:tcPr>
          <w:p w14:paraId="06540967" w14:textId="504FE835" w:rsidR="000D2253" w:rsidRPr="002206A0" w:rsidRDefault="00463797" w:rsidP="00C84169">
            <w:pPr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color w:val="FFFFFF"/>
                <w:sz w:val="22"/>
                <w:szCs w:val="22"/>
              </w:rPr>
              <w:t>Department of Education</w:t>
            </w:r>
            <w:r w:rsidR="000D2253" w:rsidRPr="002206A0">
              <w:rPr>
                <w:rFonts w:eastAsia="Calibri"/>
                <w:b/>
                <w:color w:val="FFFFFF"/>
                <w:sz w:val="22"/>
                <w:szCs w:val="22"/>
              </w:rPr>
              <w:t xml:space="preserve"> Evaluation/Comments/Best Practices</w:t>
            </w:r>
          </w:p>
        </w:tc>
      </w:tr>
      <w:tr w:rsidR="000D2253" w:rsidRPr="002206A0" w14:paraId="650F6F84" w14:textId="77777777" w:rsidTr="0E498DC7">
        <w:trPr>
          <w:trHeight w:val="2930"/>
        </w:trPr>
        <w:tc>
          <w:tcPr>
            <w:tcW w:w="10975" w:type="dxa"/>
            <w:gridSpan w:val="2"/>
          </w:tcPr>
          <w:p w14:paraId="5AC8D139" w14:textId="77777777" w:rsidR="000D2253" w:rsidRPr="002206A0" w:rsidRDefault="000D2253" w:rsidP="00C84169">
            <w:pPr>
              <w:spacing w:after="0" w:line="240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3625E28A" w14:textId="0433D46A" w:rsidR="00BE54F2" w:rsidRPr="00BE54F2" w:rsidRDefault="00BE54F2" w:rsidP="00D96DC2"/>
    <w:sectPr w:rsidR="00BE54F2" w:rsidRPr="00BE54F2" w:rsidSect="00D96DC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04465" w14:textId="77777777" w:rsidR="00C87CE2" w:rsidRDefault="00C87CE2" w:rsidP="008915DD">
      <w:r>
        <w:separator/>
      </w:r>
    </w:p>
  </w:endnote>
  <w:endnote w:type="continuationSeparator" w:id="0">
    <w:p w14:paraId="1491611E" w14:textId="77777777" w:rsidR="00C87CE2" w:rsidRDefault="00C87CE2" w:rsidP="0089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2523" w14:textId="77777777" w:rsidR="00D3496E" w:rsidRDefault="00D349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4428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59DE34" w14:textId="77892E22" w:rsidR="00463797" w:rsidRDefault="00463797" w:rsidP="004637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9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603D" w14:textId="77777777" w:rsidR="00D3496E" w:rsidRDefault="00D34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7784" w14:textId="77777777" w:rsidR="00C87CE2" w:rsidRPr="00A82423" w:rsidRDefault="00C87CE2" w:rsidP="00C511FD">
      <w:pPr>
        <w:pStyle w:val="separator"/>
      </w:pPr>
      <w:r w:rsidRPr="00A82423">
        <w:separator/>
      </w:r>
    </w:p>
  </w:footnote>
  <w:footnote w:type="continuationSeparator" w:id="0">
    <w:p w14:paraId="6D03D248" w14:textId="77777777" w:rsidR="00C87CE2" w:rsidRPr="00A82423" w:rsidRDefault="00C87CE2" w:rsidP="00C511FD">
      <w:pPr>
        <w:pStyle w:val="separator"/>
      </w:pPr>
      <w:r w:rsidRPr="00A82423">
        <w:continuationSeparator/>
      </w:r>
    </w:p>
  </w:footnote>
  <w:footnote w:type="continuationNotice" w:id="1">
    <w:p w14:paraId="12632392" w14:textId="77777777" w:rsidR="00C87CE2" w:rsidRDefault="00C87C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9C850" w14:textId="77777777" w:rsidR="00D3496E" w:rsidRDefault="00D349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79EE" w14:textId="53D62441" w:rsidR="00D3496E" w:rsidRDefault="00D349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68404" w14:textId="77777777" w:rsidR="00D3496E" w:rsidRDefault="00D349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0A0A"/>
    <w:multiLevelType w:val="hybridMultilevel"/>
    <w:tmpl w:val="6672BDD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5B0"/>
    <w:multiLevelType w:val="hybridMultilevel"/>
    <w:tmpl w:val="20BE7210"/>
    <w:lvl w:ilvl="0" w:tplc="7FB0F8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6650E"/>
    <w:multiLevelType w:val="hybridMultilevel"/>
    <w:tmpl w:val="0DD6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F3EB8"/>
    <w:multiLevelType w:val="hybridMultilevel"/>
    <w:tmpl w:val="B532B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60ED4"/>
    <w:multiLevelType w:val="hybridMultilevel"/>
    <w:tmpl w:val="36689B8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1953502"/>
    <w:multiLevelType w:val="hybridMultilevel"/>
    <w:tmpl w:val="11B6D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7178F"/>
    <w:multiLevelType w:val="hybridMultilevel"/>
    <w:tmpl w:val="134C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F2E0E"/>
    <w:multiLevelType w:val="hybridMultilevel"/>
    <w:tmpl w:val="8370E82A"/>
    <w:lvl w:ilvl="0" w:tplc="95D69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C01AF"/>
    <w:multiLevelType w:val="hybridMultilevel"/>
    <w:tmpl w:val="DD303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30FF4"/>
    <w:multiLevelType w:val="hybridMultilevel"/>
    <w:tmpl w:val="673A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C5CC4"/>
    <w:multiLevelType w:val="hybridMultilevel"/>
    <w:tmpl w:val="E4CC21DA"/>
    <w:lvl w:ilvl="0" w:tplc="A31C0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B00F4"/>
    <w:multiLevelType w:val="hybridMultilevel"/>
    <w:tmpl w:val="02D64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F199F"/>
    <w:multiLevelType w:val="hybridMultilevel"/>
    <w:tmpl w:val="4FD86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D43FB0"/>
    <w:multiLevelType w:val="hybridMultilevel"/>
    <w:tmpl w:val="9FB0B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95EFF"/>
    <w:multiLevelType w:val="hybridMultilevel"/>
    <w:tmpl w:val="EE1A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462A4"/>
    <w:multiLevelType w:val="hybridMultilevel"/>
    <w:tmpl w:val="E03E3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5807EC"/>
    <w:multiLevelType w:val="hybridMultilevel"/>
    <w:tmpl w:val="28D243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AB757D"/>
    <w:multiLevelType w:val="multilevel"/>
    <w:tmpl w:val="40321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F0FCF"/>
    <w:multiLevelType w:val="hybridMultilevel"/>
    <w:tmpl w:val="4A38C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5906E6"/>
    <w:multiLevelType w:val="hybridMultilevel"/>
    <w:tmpl w:val="07A20B88"/>
    <w:lvl w:ilvl="0" w:tplc="BC5800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A495B"/>
    <w:multiLevelType w:val="hybridMultilevel"/>
    <w:tmpl w:val="08725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27F7B"/>
    <w:multiLevelType w:val="hybridMultilevel"/>
    <w:tmpl w:val="E57A2738"/>
    <w:lvl w:ilvl="0" w:tplc="A8A40D1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FBD07F2"/>
    <w:multiLevelType w:val="hybridMultilevel"/>
    <w:tmpl w:val="6126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C1C9E"/>
    <w:multiLevelType w:val="hybridMultilevel"/>
    <w:tmpl w:val="F2CC0932"/>
    <w:lvl w:ilvl="0" w:tplc="B95A33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81655"/>
    <w:multiLevelType w:val="hybridMultilevel"/>
    <w:tmpl w:val="1C3478E4"/>
    <w:lvl w:ilvl="0" w:tplc="E8C0C8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D22CA"/>
    <w:multiLevelType w:val="hybridMultilevel"/>
    <w:tmpl w:val="AEF219F4"/>
    <w:lvl w:ilvl="0" w:tplc="3D8A59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3"/>
  </w:num>
  <w:num w:numId="5">
    <w:abstractNumId w:val="22"/>
  </w:num>
  <w:num w:numId="6">
    <w:abstractNumId w:val="19"/>
  </w:num>
  <w:num w:numId="7">
    <w:abstractNumId w:val="4"/>
  </w:num>
  <w:num w:numId="8">
    <w:abstractNumId w:val="18"/>
  </w:num>
  <w:num w:numId="9">
    <w:abstractNumId w:val="15"/>
  </w:num>
  <w:num w:numId="10">
    <w:abstractNumId w:val="16"/>
  </w:num>
  <w:num w:numId="11">
    <w:abstractNumId w:val="12"/>
  </w:num>
  <w:num w:numId="12">
    <w:abstractNumId w:val="21"/>
  </w:num>
  <w:num w:numId="13">
    <w:abstractNumId w:val="23"/>
  </w:num>
  <w:num w:numId="14">
    <w:abstractNumId w:val="10"/>
  </w:num>
  <w:num w:numId="15">
    <w:abstractNumId w:val="7"/>
  </w:num>
  <w:num w:numId="16">
    <w:abstractNumId w:val="1"/>
  </w:num>
  <w:num w:numId="17">
    <w:abstractNumId w:val="25"/>
  </w:num>
  <w:num w:numId="18">
    <w:abstractNumId w:val="8"/>
  </w:num>
  <w:num w:numId="19">
    <w:abstractNumId w:val="20"/>
  </w:num>
  <w:num w:numId="20">
    <w:abstractNumId w:val="11"/>
  </w:num>
  <w:num w:numId="21">
    <w:abstractNumId w:val="5"/>
  </w:num>
  <w:num w:numId="22">
    <w:abstractNumId w:val="24"/>
  </w:num>
  <w:num w:numId="23">
    <w:abstractNumId w:val="17"/>
  </w:num>
  <w:num w:numId="24">
    <w:abstractNumId w:val="6"/>
  </w:num>
  <w:num w:numId="25">
    <w:abstractNumId w:val="3"/>
  </w:num>
  <w:num w:numId="26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7E"/>
    <w:rsid w:val="00007BA2"/>
    <w:rsid w:val="00014423"/>
    <w:rsid w:val="00025D9C"/>
    <w:rsid w:val="00032D02"/>
    <w:rsid w:val="00047330"/>
    <w:rsid w:val="0006013F"/>
    <w:rsid w:val="00060C48"/>
    <w:rsid w:val="00086518"/>
    <w:rsid w:val="00095EAE"/>
    <w:rsid w:val="000A6455"/>
    <w:rsid w:val="000A66C0"/>
    <w:rsid w:val="000A6F8F"/>
    <w:rsid w:val="000B28AF"/>
    <w:rsid w:val="000C0CCA"/>
    <w:rsid w:val="000D2253"/>
    <w:rsid w:val="000D23FC"/>
    <w:rsid w:val="000E54B2"/>
    <w:rsid w:val="000F07DA"/>
    <w:rsid w:val="000F1912"/>
    <w:rsid w:val="001012A1"/>
    <w:rsid w:val="001164CE"/>
    <w:rsid w:val="001411B9"/>
    <w:rsid w:val="00146CBE"/>
    <w:rsid w:val="00147CFB"/>
    <w:rsid w:val="001501D8"/>
    <w:rsid w:val="00151127"/>
    <w:rsid w:val="00152D4D"/>
    <w:rsid w:val="00160C69"/>
    <w:rsid w:val="001655A6"/>
    <w:rsid w:val="0016734F"/>
    <w:rsid w:val="00167B73"/>
    <w:rsid w:val="0018250D"/>
    <w:rsid w:val="001A03A2"/>
    <w:rsid w:val="001A4D1D"/>
    <w:rsid w:val="001B222C"/>
    <w:rsid w:val="001C16DE"/>
    <w:rsid w:val="001D0403"/>
    <w:rsid w:val="001F34EA"/>
    <w:rsid w:val="001F36E1"/>
    <w:rsid w:val="001F4FDC"/>
    <w:rsid w:val="00203CD3"/>
    <w:rsid w:val="002206A0"/>
    <w:rsid w:val="002275DF"/>
    <w:rsid w:val="0027220B"/>
    <w:rsid w:val="002861AE"/>
    <w:rsid w:val="002A0657"/>
    <w:rsid w:val="002A1468"/>
    <w:rsid w:val="002A1782"/>
    <w:rsid w:val="002B0F1B"/>
    <w:rsid w:val="002B4899"/>
    <w:rsid w:val="002B48B3"/>
    <w:rsid w:val="002B4A56"/>
    <w:rsid w:val="002C051B"/>
    <w:rsid w:val="002C1A5B"/>
    <w:rsid w:val="002D430A"/>
    <w:rsid w:val="002E40EC"/>
    <w:rsid w:val="003024A6"/>
    <w:rsid w:val="00311F72"/>
    <w:rsid w:val="003143A1"/>
    <w:rsid w:val="0032087E"/>
    <w:rsid w:val="00337F68"/>
    <w:rsid w:val="00360B04"/>
    <w:rsid w:val="003623F0"/>
    <w:rsid w:val="00397D7C"/>
    <w:rsid w:val="003A14E5"/>
    <w:rsid w:val="003F6425"/>
    <w:rsid w:val="00411F36"/>
    <w:rsid w:val="00442A7C"/>
    <w:rsid w:val="00463797"/>
    <w:rsid w:val="004742A2"/>
    <w:rsid w:val="004804FB"/>
    <w:rsid w:val="00484D34"/>
    <w:rsid w:val="004A0BBD"/>
    <w:rsid w:val="004A2337"/>
    <w:rsid w:val="004B02E2"/>
    <w:rsid w:val="004D26E2"/>
    <w:rsid w:val="004E48B6"/>
    <w:rsid w:val="00501DE9"/>
    <w:rsid w:val="005126CC"/>
    <w:rsid w:val="00524A08"/>
    <w:rsid w:val="0052785B"/>
    <w:rsid w:val="005418F4"/>
    <w:rsid w:val="00547CE5"/>
    <w:rsid w:val="0055232D"/>
    <w:rsid w:val="005528F3"/>
    <w:rsid w:val="00554CD2"/>
    <w:rsid w:val="005613AD"/>
    <w:rsid w:val="005659C2"/>
    <w:rsid w:val="00577275"/>
    <w:rsid w:val="00582957"/>
    <w:rsid w:val="00595586"/>
    <w:rsid w:val="005A5697"/>
    <w:rsid w:val="0060532F"/>
    <w:rsid w:val="006120F9"/>
    <w:rsid w:val="00615DD9"/>
    <w:rsid w:val="00635ADD"/>
    <w:rsid w:val="0063717A"/>
    <w:rsid w:val="00640CEE"/>
    <w:rsid w:val="00644541"/>
    <w:rsid w:val="00671953"/>
    <w:rsid w:val="0067303B"/>
    <w:rsid w:val="00697F44"/>
    <w:rsid w:val="006B7887"/>
    <w:rsid w:val="006C196C"/>
    <w:rsid w:val="006C6006"/>
    <w:rsid w:val="006D12A5"/>
    <w:rsid w:val="006D6E71"/>
    <w:rsid w:val="006F22A7"/>
    <w:rsid w:val="00710760"/>
    <w:rsid w:val="007141C2"/>
    <w:rsid w:val="0071782D"/>
    <w:rsid w:val="00722A08"/>
    <w:rsid w:val="00726914"/>
    <w:rsid w:val="00731E1C"/>
    <w:rsid w:val="00734794"/>
    <w:rsid w:val="00737513"/>
    <w:rsid w:val="007419B2"/>
    <w:rsid w:val="00743D19"/>
    <w:rsid w:val="00753051"/>
    <w:rsid w:val="00753D9E"/>
    <w:rsid w:val="007550F4"/>
    <w:rsid w:val="00756260"/>
    <w:rsid w:val="0076153B"/>
    <w:rsid w:val="0076206A"/>
    <w:rsid w:val="00763BBA"/>
    <w:rsid w:val="00772F90"/>
    <w:rsid w:val="00774A0F"/>
    <w:rsid w:val="00781D38"/>
    <w:rsid w:val="007F7057"/>
    <w:rsid w:val="007F7980"/>
    <w:rsid w:val="008501F8"/>
    <w:rsid w:val="00851628"/>
    <w:rsid w:val="00860989"/>
    <w:rsid w:val="008915DD"/>
    <w:rsid w:val="00895195"/>
    <w:rsid w:val="008963AA"/>
    <w:rsid w:val="008A37CA"/>
    <w:rsid w:val="008A7CE4"/>
    <w:rsid w:val="008B34BD"/>
    <w:rsid w:val="008D3DBE"/>
    <w:rsid w:val="008F544F"/>
    <w:rsid w:val="008F65AB"/>
    <w:rsid w:val="00913551"/>
    <w:rsid w:val="009179C3"/>
    <w:rsid w:val="0092712E"/>
    <w:rsid w:val="009322A7"/>
    <w:rsid w:val="00935C9E"/>
    <w:rsid w:val="0095746D"/>
    <w:rsid w:val="00972FBE"/>
    <w:rsid w:val="009765AD"/>
    <w:rsid w:val="00986836"/>
    <w:rsid w:val="00990527"/>
    <w:rsid w:val="009A4812"/>
    <w:rsid w:val="009A4968"/>
    <w:rsid w:val="009A5B5E"/>
    <w:rsid w:val="009A7A7E"/>
    <w:rsid w:val="009B6CE0"/>
    <w:rsid w:val="009C1C99"/>
    <w:rsid w:val="009C1E5E"/>
    <w:rsid w:val="009D369E"/>
    <w:rsid w:val="009E0383"/>
    <w:rsid w:val="009E28F8"/>
    <w:rsid w:val="009F14C7"/>
    <w:rsid w:val="009F1F90"/>
    <w:rsid w:val="009F2A3D"/>
    <w:rsid w:val="009F31BB"/>
    <w:rsid w:val="00A012DC"/>
    <w:rsid w:val="00A2248D"/>
    <w:rsid w:val="00A27B7D"/>
    <w:rsid w:val="00A323F0"/>
    <w:rsid w:val="00A465D2"/>
    <w:rsid w:val="00A51856"/>
    <w:rsid w:val="00A54238"/>
    <w:rsid w:val="00A63670"/>
    <w:rsid w:val="00A82423"/>
    <w:rsid w:val="00A90A8F"/>
    <w:rsid w:val="00AB3761"/>
    <w:rsid w:val="00AC2447"/>
    <w:rsid w:val="00AD5171"/>
    <w:rsid w:val="00AE524F"/>
    <w:rsid w:val="00AF7C9D"/>
    <w:rsid w:val="00B002B5"/>
    <w:rsid w:val="00B01C75"/>
    <w:rsid w:val="00B058DC"/>
    <w:rsid w:val="00B21DC0"/>
    <w:rsid w:val="00B26E1B"/>
    <w:rsid w:val="00B27BC2"/>
    <w:rsid w:val="00B36A91"/>
    <w:rsid w:val="00B4124F"/>
    <w:rsid w:val="00B41E1C"/>
    <w:rsid w:val="00B77DF1"/>
    <w:rsid w:val="00BC231C"/>
    <w:rsid w:val="00BE54F2"/>
    <w:rsid w:val="00C06A3A"/>
    <w:rsid w:val="00C06BF6"/>
    <w:rsid w:val="00C10E69"/>
    <w:rsid w:val="00C2073B"/>
    <w:rsid w:val="00C36EFF"/>
    <w:rsid w:val="00C43880"/>
    <w:rsid w:val="00C4409F"/>
    <w:rsid w:val="00C4749B"/>
    <w:rsid w:val="00C511FD"/>
    <w:rsid w:val="00C57416"/>
    <w:rsid w:val="00C84169"/>
    <w:rsid w:val="00C87CE2"/>
    <w:rsid w:val="00C91A42"/>
    <w:rsid w:val="00CB6EFE"/>
    <w:rsid w:val="00CC6579"/>
    <w:rsid w:val="00CD16B8"/>
    <w:rsid w:val="00CF213E"/>
    <w:rsid w:val="00D01911"/>
    <w:rsid w:val="00D10562"/>
    <w:rsid w:val="00D26EA2"/>
    <w:rsid w:val="00D31E56"/>
    <w:rsid w:val="00D3496E"/>
    <w:rsid w:val="00D50CE5"/>
    <w:rsid w:val="00D61576"/>
    <w:rsid w:val="00D62E4C"/>
    <w:rsid w:val="00D63B18"/>
    <w:rsid w:val="00D6417D"/>
    <w:rsid w:val="00D65B99"/>
    <w:rsid w:val="00D725B5"/>
    <w:rsid w:val="00D92299"/>
    <w:rsid w:val="00D96DC2"/>
    <w:rsid w:val="00D97FBC"/>
    <w:rsid w:val="00DA1476"/>
    <w:rsid w:val="00DC7A8A"/>
    <w:rsid w:val="00DD0B4E"/>
    <w:rsid w:val="00DE36B7"/>
    <w:rsid w:val="00E23534"/>
    <w:rsid w:val="00E34423"/>
    <w:rsid w:val="00E43148"/>
    <w:rsid w:val="00E571D4"/>
    <w:rsid w:val="00E573E8"/>
    <w:rsid w:val="00E9505D"/>
    <w:rsid w:val="00EA252E"/>
    <w:rsid w:val="00EA4276"/>
    <w:rsid w:val="00EB4D5C"/>
    <w:rsid w:val="00EC742E"/>
    <w:rsid w:val="00ED1147"/>
    <w:rsid w:val="00EE0703"/>
    <w:rsid w:val="00EE2E9B"/>
    <w:rsid w:val="00EE5BD2"/>
    <w:rsid w:val="00F03A25"/>
    <w:rsid w:val="00F05DF2"/>
    <w:rsid w:val="00F213D8"/>
    <w:rsid w:val="00F27BFC"/>
    <w:rsid w:val="00F31C19"/>
    <w:rsid w:val="00F46496"/>
    <w:rsid w:val="00F660DF"/>
    <w:rsid w:val="00F72B00"/>
    <w:rsid w:val="00F74D27"/>
    <w:rsid w:val="00F76ABC"/>
    <w:rsid w:val="00F85CC2"/>
    <w:rsid w:val="00F92D33"/>
    <w:rsid w:val="00F93737"/>
    <w:rsid w:val="00FA2452"/>
    <w:rsid w:val="00FA58D1"/>
    <w:rsid w:val="00FD5819"/>
    <w:rsid w:val="00FD77E6"/>
    <w:rsid w:val="00FE446B"/>
    <w:rsid w:val="00FE4F7D"/>
    <w:rsid w:val="00FE6855"/>
    <w:rsid w:val="00FE7944"/>
    <w:rsid w:val="0E498DC7"/>
    <w:rsid w:val="381EC29D"/>
    <w:rsid w:val="41FC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E351D7"/>
  <w15:docId w15:val="{21899186-E849-4B81-9FA3-06C9EBF2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5DD"/>
    <w:pPr>
      <w:spacing w:after="360" w:line="300" w:lineRule="auto"/>
    </w:pPr>
    <w:rPr>
      <w:rFonts w:ascii="Open Sans" w:hAnsi="Open Sans" w:cs="Open Sans"/>
      <w:b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7CA"/>
    <w:pPr>
      <w:spacing w:after="120" w:line="240" w:lineRule="auto"/>
      <w:outlineLvl w:val="0"/>
    </w:pPr>
    <w:rPr>
      <w:rFonts w:ascii="PermianSlabSerifTypeface" w:hAnsi="PermianSlabSerifTypeface"/>
      <w:b/>
      <w:color w:val="75787B"/>
      <w:spacing w:val="-20"/>
      <w:sz w:val="44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A08"/>
    <w:pPr>
      <w:spacing w:after="60" w:line="240" w:lineRule="auto"/>
      <w:outlineLvl w:val="1"/>
    </w:pPr>
    <w:rPr>
      <w:b/>
      <w:i/>
      <w:color w:val="1B365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A7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9A7A7E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7A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7A7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A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A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A7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A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A7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A7A7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A7A7E"/>
    <w:rPr>
      <w:rFonts w:eastAsiaTheme="minorEastAsia"/>
      <w:lang w:eastAsia="ja-JP"/>
    </w:rPr>
  </w:style>
  <w:style w:type="paragraph" w:styleId="Revision">
    <w:name w:val="Revision"/>
    <w:hidden/>
    <w:uiPriority w:val="99"/>
    <w:semiHidden/>
    <w:rsid w:val="009A7A7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35C9E"/>
    <w:pPr>
      <w:spacing w:after="120" w:line="680" w:lineRule="exact"/>
      <w:jc w:val="both"/>
    </w:pPr>
    <w:rPr>
      <w:rFonts w:ascii="PermianSlabSerifTypeface" w:hAnsi="PermianSlabSerifTypeface"/>
      <w:color w:val="75787B"/>
      <w:spacing w:val="-20"/>
      <w:kern w:val="52"/>
      <w:sz w:val="72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935C9E"/>
    <w:rPr>
      <w:rFonts w:ascii="PermianSlabSerifTypeface" w:hAnsi="PermianSlabSerifTypeface"/>
      <w:color w:val="75787B"/>
      <w:spacing w:val="-20"/>
      <w:kern w:val="52"/>
      <w:sz w:val="7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7CA"/>
    <w:pPr>
      <w:spacing w:after="240"/>
      <w:jc w:val="both"/>
    </w:pPr>
    <w:rPr>
      <w:color w:val="75787B"/>
      <w:sz w:val="36"/>
      <w:szCs w:val="26"/>
    </w:rPr>
  </w:style>
  <w:style w:type="character" w:customStyle="1" w:styleId="SubtitleChar">
    <w:name w:val="Subtitle Char"/>
    <w:basedOn w:val="DefaultParagraphFont"/>
    <w:link w:val="Subtitle"/>
    <w:uiPriority w:val="11"/>
    <w:rsid w:val="008A37CA"/>
    <w:rPr>
      <w:rFonts w:ascii="Open Sans" w:hAnsi="Open Sans" w:cs="Open Sans"/>
      <w:color w:val="75787B"/>
      <w:sz w:val="36"/>
      <w:szCs w:val="26"/>
    </w:rPr>
  </w:style>
  <w:style w:type="paragraph" w:customStyle="1" w:styleId="coverbyline">
    <w:name w:val="cover byline"/>
    <w:basedOn w:val="Normal"/>
    <w:link w:val="coverbylineChar"/>
    <w:qFormat/>
    <w:rsid w:val="00935C9E"/>
    <w:pPr>
      <w:jc w:val="both"/>
    </w:pPr>
    <w:rPr>
      <w:color w:val="75787B"/>
      <w:sz w:val="1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A37CA"/>
    <w:rPr>
      <w:rFonts w:ascii="PermianSlabSerifTypeface" w:hAnsi="PermianSlabSerifTypeface" w:cs="Open Sans"/>
      <w:b/>
      <w:color w:val="75787B"/>
      <w:spacing w:val="-20"/>
      <w:sz w:val="44"/>
      <w:szCs w:val="26"/>
    </w:rPr>
  </w:style>
  <w:style w:type="character" w:customStyle="1" w:styleId="coverbylineChar">
    <w:name w:val="cover byline Char"/>
    <w:basedOn w:val="DefaultParagraphFont"/>
    <w:link w:val="coverbyline"/>
    <w:rsid w:val="00935C9E"/>
    <w:rPr>
      <w:rFonts w:ascii="Open Sans" w:hAnsi="Open Sans" w:cs="Open Sans"/>
      <w:color w:val="75787B"/>
      <w:sz w:val="18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722A08"/>
    <w:rPr>
      <w:rFonts w:ascii="Open Sans" w:hAnsi="Open Sans" w:cs="Open Sans"/>
      <w:b/>
      <w:bCs/>
      <w:i/>
      <w:color w:val="1B365D"/>
      <w:sz w:val="28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A90A8F"/>
    <w:pPr>
      <w:spacing w:after="200" w:line="240" w:lineRule="auto"/>
    </w:pPr>
    <w:rPr>
      <w:b/>
      <w:bCs w:val="0"/>
      <w:color w:val="75787B"/>
      <w:sz w:val="18"/>
      <w:szCs w:val="18"/>
    </w:rPr>
  </w:style>
  <w:style w:type="paragraph" w:customStyle="1" w:styleId="Footnotes">
    <w:name w:val="Footnotes"/>
    <w:basedOn w:val="FootnoteText"/>
    <w:link w:val="FootnotesChar"/>
    <w:qFormat/>
    <w:rsid w:val="00C511FD"/>
    <w:pPr>
      <w:spacing w:after="60"/>
    </w:pPr>
    <w:rPr>
      <w:color w:val="75787B"/>
      <w:sz w:val="18"/>
    </w:rPr>
  </w:style>
  <w:style w:type="paragraph" w:customStyle="1" w:styleId="separator">
    <w:name w:val="separator"/>
    <w:basedOn w:val="Normal"/>
    <w:link w:val="separatorChar"/>
    <w:qFormat/>
    <w:rsid w:val="00C511FD"/>
    <w:pPr>
      <w:spacing w:after="120" w:line="240" w:lineRule="auto"/>
    </w:pPr>
    <w:rPr>
      <w:color w:val="B2B2B2"/>
    </w:rPr>
  </w:style>
  <w:style w:type="character" w:customStyle="1" w:styleId="FootnotesChar">
    <w:name w:val="Footnotes Char"/>
    <w:basedOn w:val="FootnoteTextChar"/>
    <w:link w:val="Footnotes"/>
    <w:rsid w:val="00C511FD"/>
    <w:rPr>
      <w:rFonts w:ascii="Open Sans" w:hAnsi="Open Sans" w:cs="Open Sans"/>
      <w:bCs/>
      <w:color w:val="75787B"/>
      <w:sz w:val="18"/>
      <w:szCs w:val="20"/>
    </w:rPr>
  </w:style>
  <w:style w:type="paragraph" w:customStyle="1" w:styleId="Pullquote">
    <w:name w:val="Pull quote"/>
    <w:basedOn w:val="Normal"/>
    <w:link w:val="PullquoteChar"/>
    <w:qFormat/>
    <w:rsid w:val="00E23534"/>
    <w:pPr>
      <w:spacing w:after="0"/>
      <w:jc w:val="center"/>
    </w:pPr>
    <w:rPr>
      <w:i/>
      <w:iCs/>
      <w:color w:val="7F7F7F" w:themeColor="text1" w:themeTint="80"/>
      <w:sz w:val="24"/>
    </w:rPr>
  </w:style>
  <w:style w:type="character" w:customStyle="1" w:styleId="separatorChar">
    <w:name w:val="separator Char"/>
    <w:basedOn w:val="DefaultParagraphFont"/>
    <w:link w:val="separator"/>
    <w:rsid w:val="00C511FD"/>
    <w:rPr>
      <w:rFonts w:ascii="Open Sans" w:hAnsi="Open Sans" w:cs="Open Sans"/>
      <w:bCs/>
      <w:color w:val="B2B2B2"/>
      <w:sz w:val="21"/>
      <w:szCs w:val="21"/>
    </w:rPr>
  </w:style>
  <w:style w:type="paragraph" w:customStyle="1" w:styleId="PullQuote0">
    <w:name w:val="Pull Quote"/>
    <w:basedOn w:val="Normal"/>
    <w:link w:val="PullQuoteChar0"/>
    <w:qFormat/>
    <w:rsid w:val="00484D34"/>
    <w:pPr>
      <w:pBdr>
        <w:left w:val="single" w:sz="24" w:space="10" w:color="D22630"/>
      </w:pBdr>
    </w:pPr>
    <w:rPr>
      <w:rFonts w:ascii="PermianSlabSerifTypeface" w:hAnsi="PermianSlabSerifTypeface"/>
      <w:i/>
      <w:color w:val="75787B"/>
      <w:sz w:val="28"/>
    </w:rPr>
  </w:style>
  <w:style w:type="character" w:customStyle="1" w:styleId="PullquoteChar">
    <w:name w:val="Pull quote Char"/>
    <w:basedOn w:val="DefaultParagraphFont"/>
    <w:link w:val="Pullquote"/>
    <w:rsid w:val="00E23534"/>
    <w:rPr>
      <w:rFonts w:ascii="Open Sans" w:hAnsi="Open Sans" w:cs="Open Sans"/>
      <w:bCs/>
      <w:i/>
      <w:iCs/>
      <w:color w:val="7F7F7F" w:themeColor="text1" w:themeTint="80"/>
      <w:sz w:val="24"/>
      <w:szCs w:val="21"/>
    </w:rPr>
  </w:style>
  <w:style w:type="character" w:customStyle="1" w:styleId="PullQuoteChar0">
    <w:name w:val="Pull Quote Char"/>
    <w:basedOn w:val="DefaultParagraphFont"/>
    <w:link w:val="PullQuote0"/>
    <w:rsid w:val="00484D34"/>
    <w:rPr>
      <w:rFonts w:ascii="PermianSlabSerifTypeface" w:hAnsi="PermianSlabSerifTypeface" w:cs="Open Sans"/>
      <w:bCs/>
      <w:i/>
      <w:color w:val="75787B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762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06A"/>
    <w:rPr>
      <w:rFonts w:ascii="Open Sans" w:hAnsi="Open Sans" w:cs="Open Sans"/>
      <w:bCs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762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06A"/>
    <w:rPr>
      <w:rFonts w:ascii="Open Sans" w:hAnsi="Open Sans" w:cs="Open Sans"/>
      <w:bCs/>
      <w:sz w:val="21"/>
      <w:szCs w:val="21"/>
    </w:rPr>
  </w:style>
  <w:style w:type="table" w:customStyle="1" w:styleId="TableGrid1">
    <w:name w:val="Table Grid1"/>
    <w:basedOn w:val="TableNormal"/>
    <w:next w:val="TableGrid"/>
    <w:uiPriority w:val="39"/>
    <w:rsid w:val="002B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B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957"/>
    <w:rPr>
      <w:b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957"/>
    <w:rPr>
      <w:rFonts w:ascii="Open Sans" w:hAnsi="Open Sans" w:cs="Open San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59C2"/>
    <w:rPr>
      <w:color w:val="131E29" w:themeColor="hyperlink"/>
      <w:u w:val="single"/>
    </w:rPr>
  </w:style>
  <w:style w:type="paragraph" w:customStyle="1" w:styleId="Default">
    <w:name w:val="Default"/>
    <w:rsid w:val="00C4409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1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Brand Colors">
      <a:dk1>
        <a:sysClr val="windowText" lastClr="000000"/>
      </a:dk1>
      <a:lt1>
        <a:sysClr val="window" lastClr="FFFFFF"/>
      </a:lt1>
      <a:dk2>
        <a:srgbClr val="1B365D"/>
      </a:dk2>
      <a:lt2>
        <a:srgbClr val="FF0F00"/>
      </a:lt2>
      <a:accent1>
        <a:srgbClr val="2DCCD3"/>
      </a:accent1>
      <a:accent2>
        <a:srgbClr val="D2D755"/>
      </a:accent2>
      <a:accent3>
        <a:srgbClr val="E87722"/>
      </a:accent3>
      <a:accent4>
        <a:srgbClr val="7C2529"/>
      </a:accent4>
      <a:accent5>
        <a:srgbClr val="666666"/>
      </a:accent5>
      <a:accent6>
        <a:srgbClr val="E6D395"/>
      </a:accent6>
      <a:hlink>
        <a:srgbClr val="131E29"/>
      </a:hlink>
      <a:folHlink>
        <a:srgbClr val="CBC4B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CE4FB806E614DBB674012B7E5D65D" ma:contentTypeVersion="4" ma:contentTypeDescription="Create a new document." ma:contentTypeScope="" ma:versionID="46b93a62fa86d6d6b4cebc1f14668a33">
  <xsd:schema xmlns:xsd="http://www.w3.org/2001/XMLSchema" xmlns:xs="http://www.w3.org/2001/XMLSchema" xmlns:p="http://schemas.microsoft.com/office/2006/metadata/properties" xmlns:ns2="27e61595-2a08-4c29-bade-4b29e82b846a" targetNamespace="http://schemas.microsoft.com/office/2006/metadata/properties" ma:root="true" ma:fieldsID="0fb57c59b55544b53f7bab6c2331e109" ns2:_="">
    <xsd:import namespace="27e61595-2a08-4c29-bade-4b29e82b8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61595-2a08-4c29-bade-4b29e82b84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BD2184-DE0A-49C1-B16E-D099CE708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57ACD1-0EB7-4E97-A9D2-AE56B80453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FE6687-5B37-4E84-9034-4DED5B1D8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5262CF-6A74-4930-A841-33FF58FFC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61595-2a08-4c29-bade-4b29e82b84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Company>State of TN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Walker</dc:creator>
  <cp:lastModifiedBy>Heather Anderson</cp:lastModifiedBy>
  <cp:revision>2</cp:revision>
  <cp:lastPrinted>2015-09-30T20:50:00Z</cp:lastPrinted>
  <dcterms:created xsi:type="dcterms:W3CDTF">2022-02-08T14:30:00Z</dcterms:created>
  <dcterms:modified xsi:type="dcterms:W3CDTF">2022-02-08T14:30:00Z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0x010100978CE4FB806E614DBB674012B7E5D65D</vt:lpwstr>
  </property>
</Properties>
</file>